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rPr>
      </w:pPr>
      <w:bookmarkStart w:id="0" w:name="_Toc512546564"/>
      <w:bookmarkStart w:id="1" w:name="_Toc160373277"/>
      <w:bookmarkStart w:id="2" w:name="_Toc512546673"/>
      <w:r>
        <w:rPr>
          <w:rFonts w:hint="eastAsia"/>
        </w:rPr>
        <w:drawing>
          <wp:anchor distT="0" distB="0" distL="114300" distR="114300" simplePos="0" relativeHeight="251660288" behindDoc="0" locked="0" layoutInCell="1" allowOverlap="1">
            <wp:simplePos x="0" y="0"/>
            <wp:positionH relativeFrom="column">
              <wp:posOffset>3928110</wp:posOffset>
            </wp:positionH>
            <wp:positionV relativeFrom="paragraph">
              <wp:posOffset>24130</wp:posOffset>
            </wp:positionV>
            <wp:extent cx="1452880" cy="569595"/>
            <wp:effectExtent l="19050" t="0" r="0" b="0"/>
            <wp:wrapSquare wrapText="bothSides"/>
            <wp:docPr id="2" name="图片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jjf"/>
                    <pic:cNvPicPr>
                      <a:picLocks noChangeAspect="1" noChangeArrowheads="1"/>
                    </pic:cNvPicPr>
                  </pic:nvPicPr>
                  <pic:blipFill>
                    <a:blip r:embed="rId14" cstate="print">
                      <a:biLevel thresh="50000"/>
                      <a:grayscl/>
                      <a:lum contrast="100000"/>
                    </a:blip>
                    <a:srcRect l="5470" t="6032" r="5057" b="16345"/>
                    <a:stretch>
                      <a:fillRect/>
                    </a:stretch>
                  </pic:blipFill>
                  <pic:spPr>
                    <a:xfrm>
                      <a:off x="0" y="0"/>
                      <a:ext cx="1452880" cy="569595"/>
                    </a:xfrm>
                    <a:prstGeom prst="rect">
                      <a:avLst/>
                    </a:prstGeom>
                    <a:noFill/>
                    <a:ln w="9525">
                      <a:noFill/>
                      <a:miter lim="800000"/>
                      <a:headEnd/>
                      <a:tailEnd/>
                    </a:ln>
                  </pic:spPr>
                </pic:pic>
              </a:graphicData>
            </a:graphic>
          </wp:anchor>
        </w:drawing>
      </w:r>
      <w:bookmarkEnd w:id="0"/>
      <w:bookmarkEnd w:id="1"/>
      <w:bookmarkEnd w:id="2"/>
    </w:p>
    <w:p>
      <w:pPr>
        <w:jc w:val="center"/>
        <w:rPr>
          <w:rFonts w:ascii="宋体" w:hAnsi="宋体" w:cs="Arial"/>
          <w:w w:val="150"/>
          <w:sz w:val="36"/>
          <w:szCs w:val="36"/>
        </w:rPr>
      </w:pPr>
    </w:p>
    <w:p>
      <w:pPr>
        <w:jc w:val="distribute"/>
        <w:rPr>
          <w:rFonts w:cs="Arial" w:asciiTheme="majorEastAsia" w:hAnsiTheme="majorEastAsia" w:eastAsiaTheme="majorEastAsia"/>
          <w:b/>
          <w:sz w:val="52"/>
          <w:szCs w:val="52"/>
        </w:rPr>
      </w:pPr>
      <w:r>
        <w:rPr>
          <w:rFonts w:hint="eastAsia" w:cs="Arial" w:asciiTheme="majorEastAsia" w:hAnsiTheme="majorEastAsia" w:eastAsiaTheme="majorEastAsia"/>
          <w:b/>
          <w:sz w:val="52"/>
          <w:szCs w:val="52"/>
        </w:rPr>
        <w:t>中华人民共和国国家计量技术规范</w:t>
      </w:r>
    </w:p>
    <w:p>
      <w:pPr>
        <w:ind w:right="560"/>
        <w:jc w:val="center"/>
        <w:rPr>
          <w:rFonts w:ascii="黑体" w:hAnsi="Arial" w:eastAsia="黑体" w:cs="Arial"/>
          <w:sz w:val="28"/>
          <w:szCs w:val="28"/>
        </w:rPr>
      </w:pPr>
      <w:r>
        <w:rPr>
          <w:rFonts w:hint="eastAsia" w:ascii="黑体" w:hAnsi="Arial" w:eastAsia="黑体" w:cs="Arial"/>
          <w:sz w:val="28"/>
          <w:szCs w:val="28"/>
        </w:rPr>
        <w:t xml:space="preserve">                               JJF××××</w:t>
      </w:r>
      <w:r>
        <w:rPr>
          <w:rFonts w:hint="eastAsia" w:ascii="黑体" w:hAnsi="Gungsuh" w:eastAsia="黑体" w:cs="Arial"/>
          <w:sz w:val="28"/>
          <w:szCs w:val="28"/>
        </w:rPr>
        <w:t>－</w:t>
      </w:r>
      <w:r>
        <w:rPr>
          <w:rFonts w:hint="eastAsia" w:ascii="黑体" w:hAnsi="Arial" w:eastAsia="黑体" w:cs="Arial"/>
          <w:sz w:val="28"/>
          <w:szCs w:val="28"/>
        </w:rPr>
        <w:t>××××</w:t>
      </w:r>
    </w:p>
    <w:p>
      <w:pPr>
        <w:rPr>
          <w:rFonts w:ascii="Arial" w:hAnsi="Arial" w:cs="Arial"/>
          <w:sz w:val="30"/>
          <w:szCs w:val="30"/>
        </w:rPr>
      </w:pPr>
      <w:r>
        <w:rPr>
          <w:rFonts w:ascii="Arial" w:hAnsi="Arial" w:cs="Arial"/>
          <w:sz w:val="30"/>
          <w:szCs w:val="30"/>
        </w:rPr>
        <w:pict>
          <v:line id="Line 3" o:spid="_x0000_s1026" o:spt="20" style="position:absolute;left:0pt;margin-left:2.25pt;margin-top:8.6pt;height:0pt;width:450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">
            <v:path arrowok="t"/>
            <v:fill focussize="0,0"/>
            <v:stroke weight="1.5pt"/>
            <v:imagedata o:title=""/>
            <o:lock v:ext="edit"/>
          </v:line>
        </w:pict>
      </w:r>
    </w:p>
    <w:p>
      <w:pPr>
        <w:jc w:val="right"/>
        <w:rPr>
          <w:rFonts w:ascii="宋体" w:hAnsi="宋体"/>
          <w:b/>
          <w:bCs/>
          <w:sz w:val="36"/>
        </w:rPr>
      </w:pPr>
    </w:p>
    <w:p>
      <w:pPr>
        <w:jc w:val="right"/>
        <w:rPr>
          <w:rFonts w:ascii="宋体" w:hAnsi="宋体"/>
          <w:b/>
          <w:bCs/>
          <w:sz w:val="36"/>
        </w:rPr>
      </w:pPr>
    </w:p>
    <w:p>
      <w:pPr>
        <w:jc w:val="center"/>
        <w:rPr>
          <w:rFonts w:ascii="黑体" w:hAnsi="华文中宋" w:eastAsia="黑体"/>
          <w:bCs/>
          <w:sz w:val="52"/>
          <w:szCs w:val="52"/>
        </w:rPr>
      </w:pPr>
      <w:r>
        <w:rPr>
          <w:rFonts w:hint="eastAsia" w:ascii="黑体" w:hAnsi="华文中宋" w:eastAsia="黑体"/>
          <w:bCs/>
          <w:sz w:val="52"/>
          <w:szCs w:val="52"/>
        </w:rPr>
        <w:t>振动变送器校准规范</w:t>
      </w:r>
    </w:p>
    <w:p>
      <w:pPr>
        <w:pStyle w:val="12"/>
        <w:widowControl/>
        <w:ind w:firstLine="0" w:firstLineChars="0"/>
        <w:jc w:val="center"/>
        <w:rPr>
          <w:rFonts w:ascii="黑体" w:eastAsia="黑体" w:cs="黑体"/>
        </w:rPr>
      </w:pPr>
    </w:p>
    <w:p>
      <w:pPr>
        <w:pStyle w:val="12"/>
        <w:widowControl/>
        <w:ind w:firstLine="0" w:firstLineChars="0"/>
        <w:jc w:val="center"/>
        <w:rPr>
          <w:rFonts w:eastAsia="黑体"/>
          <w:b/>
          <w:sz w:val="28"/>
          <w:szCs w:val="28"/>
        </w:rPr>
      </w:pPr>
      <w:r>
        <w:rPr>
          <w:rFonts w:eastAsia="黑体"/>
          <w:b/>
          <w:sz w:val="28"/>
          <w:szCs w:val="28"/>
        </w:rPr>
        <w:t>Calibration Specification</w:t>
      </w:r>
      <w:r>
        <w:rPr>
          <w:rFonts w:hint="eastAsia" w:eastAsia="黑体"/>
          <w:b/>
          <w:sz w:val="28"/>
          <w:szCs w:val="28"/>
        </w:rPr>
        <w:t xml:space="preserve"> f</w:t>
      </w:r>
      <w:r>
        <w:rPr>
          <w:rFonts w:eastAsia="黑体"/>
          <w:b/>
          <w:sz w:val="28"/>
          <w:szCs w:val="28"/>
        </w:rPr>
        <w:t xml:space="preserve">or </w:t>
      </w:r>
      <w:r>
        <w:rPr>
          <w:rFonts w:hint="eastAsia" w:eastAsia="黑体"/>
          <w:b/>
          <w:sz w:val="28"/>
          <w:szCs w:val="28"/>
        </w:rPr>
        <w:t>Vibration Transmitter</w:t>
      </w:r>
    </w:p>
    <w:p>
      <w:pPr>
        <w:jc w:val="center"/>
        <w:rPr>
          <w:rFonts w:ascii="宋体" w:hAnsi="宋体"/>
          <w:bCs/>
          <w:sz w:val="30"/>
          <w:szCs w:val="30"/>
        </w:rPr>
      </w:pPr>
      <w:r>
        <w:rPr>
          <w:rFonts w:hint="eastAsia" w:ascii="宋体" w:hAnsi="宋体"/>
          <w:bCs/>
          <w:sz w:val="30"/>
          <w:szCs w:val="30"/>
        </w:rPr>
        <w:t>（</w:t>
      </w:r>
      <w:r>
        <w:rPr>
          <w:rFonts w:hint="eastAsia" w:ascii="宋体" w:hAnsi="宋体"/>
          <w:bCs/>
          <w:sz w:val="30"/>
          <w:szCs w:val="30"/>
          <w:lang w:val="en-US" w:eastAsia="zh-CN"/>
        </w:rPr>
        <w:t>征求意见</w:t>
      </w:r>
      <w:r>
        <w:rPr>
          <w:rFonts w:hint="eastAsia" w:ascii="宋体" w:hAnsi="宋体"/>
          <w:bCs/>
          <w:sz w:val="30"/>
          <w:szCs w:val="30"/>
        </w:rPr>
        <w:t>稿）</w:t>
      </w:r>
    </w:p>
    <w:p>
      <w:pPr>
        <w:jc w:val="center"/>
        <w:rPr>
          <w:rFonts w:ascii="宋体" w:hAnsi="宋体"/>
          <w:b/>
          <w:bCs/>
          <w:sz w:val="36"/>
        </w:rPr>
      </w:pPr>
    </w:p>
    <w:p>
      <w:pPr>
        <w:jc w:val="center"/>
        <w:rPr>
          <w:rFonts w:ascii="宋体" w:hAnsi="宋体"/>
          <w:b/>
          <w:bCs/>
          <w:sz w:val="36"/>
        </w:rPr>
      </w:pPr>
    </w:p>
    <w:p>
      <w:pPr>
        <w:jc w:val="center"/>
        <w:rPr>
          <w:rFonts w:ascii="宋体" w:hAnsi="宋体"/>
          <w:b/>
          <w:bCs/>
          <w:sz w:val="36"/>
        </w:rPr>
      </w:pPr>
    </w:p>
    <w:p>
      <w:pPr>
        <w:jc w:val="center"/>
        <w:rPr>
          <w:rFonts w:ascii="宋体" w:hAnsi="宋体"/>
          <w:b/>
          <w:bCs/>
          <w:sz w:val="36"/>
        </w:rPr>
      </w:pPr>
    </w:p>
    <w:p>
      <w:pPr>
        <w:jc w:val="center"/>
        <w:rPr>
          <w:rFonts w:ascii="宋体" w:hAnsi="宋体"/>
          <w:b/>
          <w:bCs/>
          <w:sz w:val="36"/>
        </w:rPr>
      </w:pPr>
    </w:p>
    <w:p>
      <w:pPr>
        <w:rPr>
          <w:rFonts w:ascii="宋体" w:hAnsi="宋体"/>
          <w:b/>
          <w:bCs/>
          <w:sz w:val="36"/>
        </w:rPr>
      </w:pPr>
    </w:p>
    <w:p>
      <w:pPr>
        <w:jc w:val="center"/>
        <w:rPr>
          <w:rFonts w:ascii="黑体" w:hAnsi="Arial" w:eastAsia="黑体" w:cs="Arial"/>
          <w:sz w:val="24"/>
        </w:rPr>
      </w:pPr>
      <w:r>
        <w:rPr>
          <w:rFonts w:hint="eastAsia" w:ascii="黑体" w:hAnsi="Arial" w:eastAsia="黑体" w:cs="Arial"/>
          <w:sz w:val="28"/>
          <w:szCs w:val="28"/>
        </w:rPr>
        <w:t>××××－××－××发布             ××××－××－××实施</w:t>
      </w:r>
    </w:p>
    <w:p>
      <w:pPr>
        <w:rPr>
          <w:rFonts w:ascii="Arial" w:hAnsi="Arial" w:cs="Arial"/>
          <w:sz w:val="30"/>
          <w:szCs w:val="30"/>
        </w:rPr>
      </w:pPr>
      <w:r>
        <w:rPr>
          <w:rFonts w:ascii="Arial" w:hAnsi="Arial" w:cs="Arial"/>
          <w:sz w:val="30"/>
          <w:szCs w:val="30"/>
        </w:rPr>
        <w:pict>
          <v:line id="Line 4" o:spid="_x0000_s3098" o:spt="20" style="position:absolute;left:0pt;margin-left:-1pt;margin-top:16.3pt;height:0pt;width:450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">
            <v:path arrowok="t"/>
            <v:fill focussize="0,0"/>
            <v:stroke weight="1.5pt"/>
            <v:imagedata o:title=""/>
            <o:lock v:ext="edit"/>
          </v:line>
        </w:pict>
      </w:r>
    </w:p>
    <w:p>
      <w:pPr>
        <w:jc w:val="center"/>
        <w:rPr>
          <w:rFonts w:ascii="宋体" w:hAnsi="宋体"/>
          <w:sz w:val="30"/>
          <w:szCs w:val="30"/>
        </w:rPr>
      </w:pPr>
      <w:r>
        <w:rPr>
          <w:rFonts w:hint="eastAsia" w:ascii="方正小标宋简体" w:hAnsi="宋体" w:eastAsia="方正小标宋简体" w:cs="Arial"/>
          <w:sz w:val="36"/>
          <w:szCs w:val="36"/>
        </w:rPr>
        <w:t>国 家 市 场 监 督 管 理 总 局</w:t>
      </w:r>
      <w:r>
        <w:rPr>
          <w:rFonts w:hint="eastAsia" w:ascii="方正小标宋简体" w:hAnsi="宋体" w:eastAsia="方正小标宋简体" w:cs="Arial"/>
          <w:sz w:val="44"/>
          <w:szCs w:val="44"/>
        </w:rPr>
        <w:t xml:space="preserve"> </w:t>
      </w:r>
      <w:r>
        <w:rPr>
          <w:rFonts w:hint="eastAsia" w:ascii="黑体" w:hAnsi="黑体" w:eastAsia="黑体" w:cs="Arial"/>
          <w:sz w:val="28"/>
          <w:szCs w:val="28"/>
        </w:rPr>
        <w:t>发 布</w:t>
      </w:r>
    </w:p>
    <w:p>
      <w:pPr>
        <w:ind w:firstLine="442" w:firstLineChars="100"/>
        <w:rPr>
          <w:rFonts w:hAnsi="黑体" w:eastAsia="黑体"/>
          <w:b/>
          <w:kern w:val="0"/>
          <w:sz w:val="44"/>
          <w:szCs w:val="44"/>
        </w:rPr>
        <w:sectPr>
          <w:headerReference r:id="rId3" w:type="default"/>
          <w:footerReference r:id="rId4" w:type="default"/>
          <w:pgSz w:w="11906" w:h="16838"/>
          <w:pgMar w:top="1701" w:right="1418" w:bottom="1020" w:left="1418" w:header="1400" w:footer="992" w:gutter="0"/>
          <w:pgNumType w:fmt="upperRoman" w:start="1"/>
          <w:cols w:space="720" w:num="1"/>
          <w:titlePg/>
          <w:docGrid w:type="lines" w:linePitch="312" w:charSpace="0"/>
        </w:sectPr>
      </w:pPr>
    </w:p>
    <w:p>
      <w:pPr>
        <w:ind w:firstLine="900" w:firstLineChars="300"/>
        <w:rPr>
          <w:rFonts w:hAnsi="黑体" w:eastAsia="黑体"/>
          <w:b/>
          <w:kern w:val="0"/>
          <w:sz w:val="44"/>
          <w:szCs w:val="44"/>
        </w:rPr>
      </w:pPr>
      <w:r>
        <w:rPr>
          <w:rFonts w:ascii="黑体" w:hAnsi="黑体" w:eastAsia="黑体"/>
          <w:color w:val="000000"/>
          <w:sz w:val="30"/>
          <w:szCs w:val="30"/>
        </w:rPr>
        <w:pict>
          <v:rect id="Rectangle 5" o:spid="_x0000_s3097" o:spt="1" style="position:absolute;left:0pt;margin-left:315pt;margin-top:7.3pt;height:62.4pt;width:126pt;z-index:25166540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">
            <v:path/>
            <v:fill focussize="0,0"/>
            <v:stroke weight="1pt" dashstyle="dash"/>
            <v:imagedata o:title=""/>
            <o:lock v:ext="edit"/>
            <v:textbox inset="7.19992125984252pt,1.27mm,7.19992125984252pt,1.27mm">
              <w:txbxContent>
                <w:p/>
                <w:p>
                  <w:pPr>
                    <w:ind w:firstLine="210" w:firstLineChars="100"/>
                  </w:pPr>
                  <w:r>
                    <w:rPr>
                      <w:rFonts w:hint="eastAsia"/>
                    </w:rPr>
                    <w:t>JJF××××－20××</w:t>
                  </w:r>
                </w:p>
                <w:p/>
                <w:p/>
              </w:txbxContent>
            </v:textbox>
          </v:rect>
        </w:pict>
      </w:r>
      <w:r>
        <w:rPr>
          <w:rFonts w:hint="eastAsia" w:hAnsi="黑体" w:eastAsia="黑体"/>
          <w:b/>
          <w:kern w:val="0"/>
          <w:sz w:val="44"/>
          <w:szCs w:val="44"/>
        </w:rPr>
        <w:t>振动变送器</w:t>
      </w:r>
      <w:r>
        <w:rPr>
          <w:rFonts w:hAnsi="黑体" w:eastAsia="黑体"/>
          <w:b/>
          <w:kern w:val="0"/>
          <w:sz w:val="44"/>
          <w:szCs w:val="44"/>
        </w:rPr>
        <w:t>校准规范</w:t>
      </w:r>
    </w:p>
    <w:p>
      <w:pPr>
        <w:ind w:firstLine="750" w:firstLineChars="250"/>
        <w:rPr>
          <w:rFonts w:ascii="黑体" w:hAnsi="黑体" w:eastAsia="黑体"/>
          <w:color w:val="000000"/>
          <w:sz w:val="30"/>
          <w:szCs w:val="30"/>
        </w:rPr>
      </w:pPr>
      <w:r>
        <w:rPr>
          <w:rFonts w:ascii="黑体" w:hAnsi="黑体" w:eastAsia="黑体"/>
          <w:color w:val="000000"/>
          <w:sz w:val="30"/>
          <w:szCs w:val="30"/>
        </w:rPr>
        <w:t>Calibration</w:t>
      </w:r>
      <w:r>
        <w:rPr>
          <w:rFonts w:hint="eastAsia" w:ascii="黑体" w:hAnsi="黑体" w:eastAsia="黑体"/>
          <w:color w:val="000000"/>
          <w:sz w:val="30"/>
          <w:szCs w:val="30"/>
        </w:rPr>
        <w:t xml:space="preserve"> </w:t>
      </w:r>
      <w:r>
        <w:rPr>
          <w:rFonts w:ascii="黑体" w:hAnsi="黑体" w:eastAsia="黑体"/>
          <w:color w:val="000000"/>
          <w:sz w:val="30"/>
          <w:szCs w:val="30"/>
        </w:rPr>
        <w:t xml:space="preserve">Specification </w:t>
      </w:r>
    </w:p>
    <w:p>
      <w:pPr>
        <w:ind w:firstLine="750" w:firstLineChars="250"/>
        <w:rPr>
          <w:rFonts w:ascii="黑体" w:hAnsi="黑体" w:eastAsia="黑体"/>
          <w:color w:val="000000"/>
          <w:sz w:val="30"/>
          <w:szCs w:val="30"/>
        </w:rPr>
      </w:pPr>
      <w:r>
        <w:rPr>
          <w:rFonts w:ascii="黑体" w:hAnsi="黑体" w:eastAsia="黑体"/>
          <w:color w:val="000000"/>
          <w:sz w:val="30"/>
          <w:szCs w:val="30"/>
        </w:rPr>
        <w:t>for</w:t>
      </w:r>
      <w:r>
        <w:rPr>
          <w:rFonts w:hint="eastAsia" w:ascii="黑体" w:hAnsi="黑体" w:eastAsia="黑体"/>
          <w:color w:val="000000"/>
          <w:sz w:val="30"/>
          <w:szCs w:val="30"/>
        </w:rPr>
        <w:t xml:space="preserve"> Vibration Transmitter</w:t>
      </w:r>
    </w:p>
    <w:p>
      <w:pPr>
        <w:autoSpaceDE w:val="0"/>
        <w:autoSpaceDN w:val="0"/>
        <w:adjustRightInd w:val="0"/>
        <w:spacing w:line="489" w:lineRule="exact"/>
        <w:jc w:val="left"/>
        <w:rPr>
          <w:rFonts w:eastAsia="黑体"/>
          <w:b/>
          <w:bCs/>
          <w:color w:val="000000"/>
          <w:kern w:val="0"/>
          <w:sz w:val="28"/>
        </w:rPr>
      </w:pPr>
      <w:r>
        <w:rPr>
          <w:rFonts w:eastAsia="黑体"/>
          <w:sz w:val="20"/>
          <w:szCs w:val="28"/>
        </w:rPr>
        <w:pict>
          <v:line id="Line 6" o:spid="_x0000_s3096" o:spt="20" style="position:absolute;left:0pt;margin-left:5.25pt;margin-top:2.5pt;height:0pt;width:451.5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">
            <v:path arrowok="t"/>
            <v:fill focussize="0,0"/>
            <v:stroke/>
            <v:imagedata o:title=""/>
            <o:lock v:ext="edit"/>
          </v:line>
        </w:pict>
      </w:r>
    </w:p>
    <w:p>
      <w:pPr>
        <w:spacing w:line="600" w:lineRule="exact"/>
        <w:ind w:left="101" w:leftChars="48" w:firstLine="420" w:firstLineChars="150"/>
        <w:rPr>
          <w:rFonts w:eastAsia="黑体"/>
          <w:sz w:val="28"/>
          <w:szCs w:val="28"/>
        </w:rPr>
      </w:pPr>
    </w:p>
    <w:p>
      <w:pPr>
        <w:spacing w:line="600" w:lineRule="exact"/>
        <w:ind w:left="101" w:leftChars="48" w:firstLine="420" w:firstLineChars="150"/>
        <w:rPr>
          <w:rFonts w:eastAsia="黑体"/>
          <w:color w:val="FF0000"/>
          <w:sz w:val="28"/>
          <w:szCs w:val="28"/>
        </w:rPr>
      </w:pPr>
    </w:p>
    <w:p>
      <w:pPr>
        <w:tabs>
          <w:tab w:val="left" w:pos="6740"/>
        </w:tabs>
        <w:rPr>
          <w:rFonts w:eastAsia="黑体"/>
          <w:sz w:val="28"/>
        </w:rPr>
      </w:pPr>
      <w:r>
        <w:rPr>
          <w:rFonts w:hint="eastAsia" w:eastAsia="黑体"/>
          <w:sz w:val="28"/>
        </w:rPr>
        <w:tab/>
      </w:r>
    </w:p>
    <w:p>
      <w:pPr>
        <w:rPr>
          <w:rFonts w:eastAsia="黑体"/>
          <w:sz w:val="28"/>
        </w:rPr>
      </w:pPr>
    </w:p>
    <w:p>
      <w:pPr>
        <w:rPr>
          <w:rFonts w:eastAsia="黑体"/>
          <w:sz w:val="28"/>
        </w:rPr>
      </w:pPr>
    </w:p>
    <w:p>
      <w:pPr>
        <w:jc w:val="left"/>
        <w:rPr>
          <w:rFonts w:eastAsia="黑体"/>
          <w:bCs/>
          <w:sz w:val="28"/>
        </w:rPr>
      </w:pPr>
      <w:r>
        <w:rPr>
          <w:rFonts w:hint="eastAsia" w:eastAsia="黑体"/>
          <w:bCs/>
          <w:kern w:val="0"/>
          <w:sz w:val="28"/>
        </w:rPr>
        <w:t xml:space="preserve">    </w:t>
      </w:r>
      <w:r>
        <w:rPr>
          <w:rFonts w:hint="eastAsia" w:eastAsia="黑体"/>
          <w:bCs/>
          <w:spacing w:val="93"/>
          <w:kern w:val="0"/>
          <w:sz w:val="28"/>
          <w:fitText w:val="1680" w:id="1720508672"/>
        </w:rPr>
        <w:t>归口单</w:t>
      </w:r>
      <w:r>
        <w:rPr>
          <w:rFonts w:hint="eastAsia" w:eastAsia="黑体"/>
          <w:bCs/>
          <w:spacing w:val="1"/>
          <w:kern w:val="0"/>
          <w:sz w:val="28"/>
          <w:fitText w:val="1680" w:id="1720508672"/>
        </w:rPr>
        <w:t>位</w:t>
      </w:r>
      <w:r>
        <w:rPr>
          <w:rFonts w:hint="eastAsia" w:eastAsia="黑体"/>
          <w:bCs/>
          <w:sz w:val="28"/>
        </w:rPr>
        <w:t>：</w:t>
      </w:r>
      <w:r>
        <w:rPr>
          <w:rFonts w:hint="eastAsia" w:ascii="宋体" w:hAnsi="宋体"/>
          <w:bCs/>
          <w:sz w:val="28"/>
        </w:rPr>
        <w:t>全国振动冲击转速计量技术委员会</w:t>
      </w:r>
    </w:p>
    <w:p>
      <w:pPr>
        <w:ind w:firstLine="560" w:firstLineChars="200"/>
        <w:rPr>
          <w:rFonts w:hint="default" w:eastAsia="黑体"/>
          <w:bCs/>
          <w:sz w:val="28"/>
          <w:lang w:val="en-US" w:eastAsia="zh-CN"/>
        </w:rPr>
      </w:pPr>
      <w:r>
        <w:rPr>
          <w:rFonts w:eastAsia="黑体"/>
          <w:bCs/>
          <w:sz w:val="28"/>
        </w:rPr>
        <w:t>主要起草单位：</w:t>
      </w:r>
      <w:r>
        <w:rPr>
          <w:rFonts w:hint="eastAsia" w:ascii="宋体" w:hAnsi="宋体" w:eastAsia="黑体"/>
          <w:bCs/>
          <w:sz w:val="28"/>
          <w:lang w:val="en-US" w:eastAsia="zh-CN"/>
        </w:rPr>
        <w:t>XXXXXXXXXXX</w:t>
      </w:r>
    </w:p>
    <w:p>
      <w:pPr>
        <w:ind w:firstLine="2520" w:firstLineChars="900"/>
        <w:rPr>
          <w:rFonts w:ascii="宋体" w:hAnsi="宋体"/>
          <w:bCs/>
          <w:sz w:val="28"/>
        </w:rPr>
      </w:pPr>
      <w:r>
        <w:rPr>
          <w:rFonts w:hint="eastAsia" w:ascii="宋体" w:hAnsi="宋体"/>
          <w:bCs/>
          <w:sz w:val="28"/>
          <w:lang w:val="en-US" w:eastAsia="zh-CN"/>
        </w:rPr>
        <w:t>XXXXXXXXXXX</w:t>
      </w:r>
      <w:r>
        <w:rPr>
          <w:rFonts w:hint="eastAsia" w:ascii="宋体" w:hAnsi="宋体"/>
          <w:bCs/>
          <w:sz w:val="28"/>
        </w:rPr>
        <w:t xml:space="preserve">    </w:t>
      </w:r>
    </w:p>
    <w:p>
      <w:pPr>
        <w:ind w:firstLine="560" w:firstLineChars="200"/>
        <w:rPr>
          <w:rFonts w:hint="default" w:ascii="黑体" w:hAnsi="宋体" w:eastAsia="黑体"/>
          <w:bCs/>
          <w:color w:val="000000" w:themeColor="text1"/>
          <w:sz w:val="28"/>
          <w:lang w:val="en-US" w:eastAsia="zh-CN"/>
        </w:rPr>
      </w:pPr>
      <w:r>
        <w:rPr>
          <w:rFonts w:eastAsia="黑体"/>
          <w:bCs/>
          <w:sz w:val="28"/>
        </w:rPr>
        <w:t>参加起草单位：</w:t>
      </w:r>
      <w:r>
        <w:rPr>
          <w:rFonts w:hint="eastAsia" w:ascii="宋体" w:hAnsi="宋体" w:eastAsia="黑体"/>
          <w:bCs/>
          <w:sz w:val="28"/>
          <w:lang w:val="en-US" w:eastAsia="zh-CN"/>
        </w:rPr>
        <w:t>XXXXXXXXXXX</w:t>
      </w:r>
    </w:p>
    <w:p>
      <w:pPr>
        <w:ind w:firstLine="2550" w:firstLineChars="911"/>
        <w:rPr>
          <w:rFonts w:hint="default" w:ascii="宋体" w:hAnsi="宋体"/>
          <w:bCs/>
          <w:sz w:val="28"/>
          <w:lang w:val="en-US" w:eastAsia="zh-CN"/>
        </w:rPr>
      </w:pPr>
      <w:r>
        <w:rPr>
          <w:rFonts w:hint="eastAsia" w:ascii="宋体" w:hAnsi="宋体"/>
          <w:bCs/>
          <w:sz w:val="28"/>
          <w:lang w:val="en-US" w:eastAsia="zh-CN"/>
        </w:rPr>
        <w:t>XXXXXXXXXXX</w:t>
      </w:r>
    </w:p>
    <w:p>
      <w:pPr>
        <w:ind w:firstLine="2550" w:firstLineChars="911"/>
        <w:rPr>
          <w:rFonts w:hint="default" w:ascii="宋体" w:hAnsi="宋体"/>
          <w:bCs/>
          <w:sz w:val="28"/>
          <w:lang w:val="en-US"/>
        </w:rPr>
      </w:pPr>
      <w:r>
        <w:rPr>
          <w:rFonts w:hint="eastAsia" w:ascii="宋体" w:hAnsi="宋体"/>
          <w:bCs/>
          <w:sz w:val="28"/>
          <w:lang w:val="en-US" w:eastAsia="zh-CN"/>
        </w:rPr>
        <w:t>XXXXXXXXXXX</w:t>
      </w:r>
    </w:p>
    <w:p>
      <w:pPr>
        <w:ind w:firstLine="2665" w:firstLineChars="952"/>
        <w:rPr>
          <w:rFonts w:ascii="宋体" w:hAnsi="宋体"/>
          <w:bCs/>
          <w:sz w:val="28"/>
        </w:rPr>
      </w:pPr>
      <w:bookmarkStart w:id="47" w:name="_GoBack"/>
      <w:bookmarkEnd w:id="47"/>
    </w:p>
    <w:p>
      <w:pPr>
        <w:ind w:firstLine="2660" w:firstLineChars="950"/>
        <w:rPr>
          <w:rFonts w:ascii="宋体" w:hAnsi="宋体"/>
          <w:bCs/>
          <w:sz w:val="28"/>
        </w:rPr>
      </w:pPr>
    </w:p>
    <w:p>
      <w:pPr>
        <w:ind w:firstLine="560" w:firstLineChars="200"/>
        <w:rPr>
          <w:rFonts w:eastAsia="黑体"/>
          <w:bCs/>
          <w:sz w:val="28"/>
        </w:rPr>
      </w:pPr>
    </w:p>
    <w:p>
      <w:pPr>
        <w:ind w:firstLine="560" w:firstLineChars="200"/>
        <w:rPr>
          <w:rFonts w:eastAsia="黑体"/>
          <w:bCs/>
          <w:sz w:val="28"/>
        </w:rPr>
      </w:pPr>
    </w:p>
    <w:p>
      <w:pPr>
        <w:ind w:firstLine="560" w:firstLineChars="200"/>
        <w:rPr>
          <w:rFonts w:eastAsia="黑体"/>
          <w:bCs/>
          <w:sz w:val="28"/>
        </w:rPr>
      </w:pPr>
    </w:p>
    <w:p>
      <w:pPr>
        <w:ind w:firstLine="560" w:firstLineChars="200"/>
        <w:rPr>
          <w:rFonts w:asciiTheme="minorEastAsia" w:hAnsiTheme="minorEastAsia" w:eastAsiaTheme="minorEastAsia"/>
          <w:sz w:val="28"/>
        </w:rPr>
      </w:pPr>
      <w:r>
        <w:rPr>
          <w:rFonts w:asciiTheme="minorEastAsia" w:hAnsiTheme="minorEastAsia" w:eastAsiaTheme="minorEastAsia"/>
          <w:sz w:val="28"/>
        </w:rPr>
        <w:t>本规范委托</w:t>
      </w:r>
      <w:r>
        <w:rPr>
          <w:rFonts w:hint="eastAsia" w:asciiTheme="minorEastAsia" w:hAnsiTheme="minorEastAsia" w:eastAsiaTheme="minorEastAsia"/>
          <w:sz w:val="28"/>
        </w:rPr>
        <w:t>全国振动冲击转速计量技术委员会</w:t>
      </w:r>
      <w:r>
        <w:rPr>
          <w:rFonts w:asciiTheme="minorEastAsia" w:hAnsiTheme="minorEastAsia" w:eastAsiaTheme="minorEastAsia"/>
          <w:sz w:val="28"/>
        </w:rPr>
        <w:t>负责解释</w:t>
      </w:r>
    </w:p>
    <w:p>
      <w:pPr>
        <w:pStyle w:val="12"/>
        <w:widowControl/>
        <w:ind w:firstLine="140" w:firstLineChars="50"/>
        <w:rPr>
          <w:rFonts w:ascii="黑体" w:hAnsi="黑体" w:eastAsia="黑体"/>
          <w:bCs/>
          <w:sz w:val="28"/>
        </w:rPr>
      </w:pPr>
    </w:p>
    <w:p>
      <w:pPr>
        <w:pStyle w:val="12"/>
        <w:widowControl/>
        <w:ind w:firstLine="140" w:firstLineChars="50"/>
        <w:rPr>
          <w:rFonts w:ascii="黑体" w:hAnsi="黑体" w:eastAsia="黑体"/>
          <w:bCs/>
          <w:sz w:val="28"/>
        </w:rPr>
      </w:pPr>
    </w:p>
    <w:p>
      <w:pPr>
        <w:pStyle w:val="12"/>
        <w:widowControl/>
        <w:ind w:firstLine="140" w:firstLineChars="50"/>
        <w:rPr>
          <w:rFonts w:ascii="黑体" w:hAnsi="黑体" w:eastAsia="黑体"/>
          <w:bCs/>
          <w:sz w:val="28"/>
        </w:rPr>
      </w:pPr>
      <w:r>
        <w:rPr>
          <w:rFonts w:ascii="黑体" w:hAnsi="黑体" w:eastAsia="黑体"/>
          <w:bCs/>
          <w:sz w:val="28"/>
        </w:rPr>
        <w:t>本规范</w:t>
      </w:r>
      <w:r>
        <w:rPr>
          <w:rFonts w:hint="eastAsia" w:ascii="黑体" w:hAnsi="黑体" w:eastAsia="黑体" w:cs="黑体"/>
          <w:bCs/>
          <w:sz w:val="28"/>
        </w:rPr>
        <w:t>主要起草人：</w:t>
      </w:r>
    </w:p>
    <w:p>
      <w:pPr>
        <w:pStyle w:val="12"/>
        <w:widowControl/>
        <w:ind w:firstLine="840"/>
        <w:rPr>
          <w:rFonts w:ascii="黑体" w:hAnsi="黑体" w:eastAsia="黑体" w:cs="黑体"/>
          <w:bCs/>
          <w:sz w:val="28"/>
        </w:rPr>
      </w:pPr>
    </w:p>
    <w:p>
      <w:pPr>
        <w:pStyle w:val="12"/>
        <w:widowControl/>
        <w:ind w:firstLine="840"/>
        <w:rPr>
          <w:rFonts w:ascii="黑体" w:hAnsi="黑体" w:eastAsia="黑体" w:cs="黑体"/>
          <w:bCs/>
          <w:sz w:val="28"/>
        </w:rPr>
      </w:pPr>
    </w:p>
    <w:p>
      <w:pPr>
        <w:pStyle w:val="12"/>
        <w:widowControl/>
        <w:ind w:firstLine="840"/>
        <w:rPr>
          <w:rFonts w:ascii="黑体" w:hAnsi="黑体" w:eastAsia="黑体" w:cs="黑体"/>
          <w:bCs/>
          <w:sz w:val="28"/>
        </w:rPr>
      </w:pPr>
    </w:p>
    <w:p>
      <w:pPr>
        <w:pStyle w:val="12"/>
        <w:widowControl/>
        <w:ind w:firstLine="840"/>
        <w:rPr>
          <w:rFonts w:ascii="黑体" w:hAnsi="黑体" w:eastAsia="黑体" w:cs="黑体"/>
          <w:bCs/>
          <w:sz w:val="28"/>
        </w:rPr>
      </w:pPr>
    </w:p>
    <w:p>
      <w:pPr>
        <w:pStyle w:val="12"/>
        <w:widowControl/>
        <w:ind w:firstLine="840"/>
        <w:rPr>
          <w:rFonts w:ascii="黑体" w:hAnsi="黑体" w:eastAsia="黑体" w:cs="黑体"/>
          <w:bCs/>
          <w:sz w:val="28"/>
        </w:rPr>
      </w:pPr>
      <w:r>
        <w:rPr>
          <w:rFonts w:hint="eastAsia" w:ascii="黑体" w:hAnsi="黑体" w:eastAsia="黑体" w:cs="黑体"/>
          <w:bCs/>
          <w:sz w:val="28"/>
        </w:rPr>
        <w:t>参加起草人：</w:t>
      </w:r>
    </w:p>
    <w:p>
      <w:pPr>
        <w:pStyle w:val="12"/>
        <w:widowControl/>
        <w:ind w:firstLine="0" w:firstLineChars="0"/>
        <w:rPr>
          <w:rFonts w:ascii="宋体" w:hAnsi="宋体"/>
          <w:bCs/>
          <w:sz w:val="28"/>
        </w:rPr>
      </w:pPr>
      <w:r>
        <w:rPr>
          <w:rFonts w:hint="eastAsia" w:ascii="黑体" w:hAnsi="黑体" w:eastAsia="黑体"/>
          <w:bCs/>
          <w:sz w:val="28"/>
        </w:rPr>
        <w:t xml:space="preserve">       </w:t>
      </w:r>
    </w:p>
    <w:p>
      <w:pPr>
        <w:ind w:firstLine="1400" w:firstLineChars="500"/>
        <w:rPr>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tabs>
          <w:tab w:val="left" w:pos="1500"/>
        </w:tabs>
        <w:jc w:val="center"/>
        <w:rPr>
          <w:rFonts w:eastAsia="黑体"/>
          <w:color w:val="000000"/>
          <w:kern w:val="0"/>
          <w:sz w:val="44"/>
          <w:szCs w:val="44"/>
        </w:rPr>
        <w:sectPr>
          <w:headerReference r:id="rId6" w:type="first"/>
          <w:footerReference r:id="rId8" w:type="first"/>
          <w:headerReference r:id="rId5" w:type="default"/>
          <w:footerReference r:id="rId7" w:type="default"/>
          <w:pgSz w:w="11906" w:h="16838"/>
          <w:pgMar w:top="1701" w:right="1418" w:bottom="1020" w:left="1418" w:header="1400" w:footer="992" w:gutter="0"/>
          <w:pgNumType w:fmt="upperRoman"/>
          <w:cols w:space="720" w:num="1"/>
          <w:titlePg/>
          <w:docGrid w:type="lines" w:linePitch="312" w:charSpace="0"/>
        </w:sectPr>
      </w:pPr>
    </w:p>
    <w:p>
      <w:pPr>
        <w:tabs>
          <w:tab w:val="left" w:pos="1500"/>
        </w:tabs>
        <w:jc w:val="center"/>
        <w:rPr>
          <w:rFonts w:eastAsia="黑体"/>
          <w:color w:val="000000"/>
          <w:kern w:val="0"/>
          <w:sz w:val="44"/>
          <w:szCs w:val="44"/>
        </w:rPr>
      </w:pPr>
    </w:p>
    <w:p>
      <w:pPr>
        <w:tabs>
          <w:tab w:val="left" w:pos="1500"/>
        </w:tabs>
        <w:jc w:val="center"/>
        <w:rPr>
          <w:rFonts w:eastAsia="黑体"/>
          <w:color w:val="000000"/>
          <w:kern w:val="0"/>
          <w:sz w:val="44"/>
          <w:szCs w:val="44"/>
        </w:rPr>
      </w:pPr>
      <w:r>
        <w:rPr>
          <w:rFonts w:eastAsia="黑体"/>
          <w:color w:val="000000"/>
          <w:kern w:val="0"/>
          <w:sz w:val="44"/>
          <w:szCs w:val="44"/>
        </w:rPr>
        <w:t>目</w:t>
      </w:r>
      <w:r>
        <w:rPr>
          <w:rFonts w:hint="eastAsia" w:eastAsia="黑体"/>
          <w:color w:val="000000"/>
          <w:kern w:val="0"/>
          <w:sz w:val="44"/>
          <w:szCs w:val="44"/>
        </w:rPr>
        <w:t xml:space="preserve">    </w:t>
      </w:r>
      <w:r>
        <w:rPr>
          <w:rFonts w:eastAsia="黑体"/>
          <w:color w:val="000000"/>
          <w:kern w:val="0"/>
          <w:sz w:val="44"/>
          <w:szCs w:val="44"/>
        </w:rPr>
        <w:t>录</w:t>
      </w:r>
    </w:p>
    <w:p>
      <w:pPr>
        <w:pStyle w:val="16"/>
        <w:tabs>
          <w:tab w:val="right" w:leader="dot" w:pos="9070"/>
          <w:tab w:val="clear" w:pos="9060"/>
        </w:tabs>
      </w:pPr>
      <w:r>
        <w:fldChar w:fldCharType="begin"/>
      </w:r>
      <w:r>
        <w:instrText xml:space="preserve"> TOC \o "1-3" \h \z \u </w:instrText>
      </w:r>
      <w:r>
        <w:fldChar w:fldCharType="separate"/>
      </w:r>
      <w:r>
        <w:fldChar w:fldCharType="begin"/>
      </w:r>
      <w:r>
        <w:instrText xml:space="preserve"> HYPERLINK \l _Toc14602 </w:instrText>
      </w:r>
      <w:r>
        <w:fldChar w:fldCharType="separate"/>
      </w:r>
      <w:r>
        <w:rPr>
          <w:rFonts w:hint="eastAsia"/>
          <w:szCs w:val="44"/>
        </w:rPr>
        <w:t>引    言</w:t>
      </w:r>
      <w:r>
        <w:tab/>
      </w:r>
      <w:r>
        <w:fldChar w:fldCharType="begin"/>
      </w:r>
      <w:r>
        <w:instrText xml:space="preserve"> PAGEREF _Toc14602 \h </w:instrText>
      </w:r>
      <w:r>
        <w:fldChar w:fldCharType="separate"/>
      </w:r>
      <w:r>
        <w:t>II</w:t>
      </w:r>
      <w:r>
        <w:fldChar w:fldCharType="end"/>
      </w:r>
      <w:r>
        <w:fldChar w:fldCharType="end"/>
      </w:r>
    </w:p>
    <w:p>
      <w:pPr>
        <w:pStyle w:val="16"/>
        <w:tabs>
          <w:tab w:val="right" w:leader="dot" w:pos="9070"/>
          <w:tab w:val="clear" w:pos="9060"/>
        </w:tabs>
      </w:pPr>
      <w:r>
        <w:fldChar w:fldCharType="begin"/>
      </w:r>
      <w:r>
        <w:instrText xml:space="preserve"> HYPERLINK \l _Toc31701 </w:instrText>
      </w:r>
      <w:r>
        <w:fldChar w:fldCharType="separate"/>
      </w:r>
      <w:r>
        <w:rPr>
          <w:rFonts w:hint="eastAsia"/>
          <w:szCs w:val="24"/>
        </w:rPr>
        <w:t>1</w:t>
      </w:r>
      <w:r>
        <w:rPr>
          <w:szCs w:val="24"/>
        </w:rPr>
        <w:t>范围</w:t>
      </w:r>
      <w:r>
        <w:tab/>
      </w:r>
      <w:r>
        <w:fldChar w:fldCharType="begin"/>
      </w:r>
      <w:r>
        <w:instrText xml:space="preserve"> PAGEREF _Toc31701 \h </w:instrText>
      </w:r>
      <w:r>
        <w:fldChar w:fldCharType="separate"/>
      </w:r>
      <w:r>
        <w:t>1</w:t>
      </w:r>
      <w:r>
        <w:fldChar w:fldCharType="end"/>
      </w:r>
      <w:r>
        <w:fldChar w:fldCharType="end"/>
      </w:r>
    </w:p>
    <w:p>
      <w:pPr>
        <w:pStyle w:val="16"/>
        <w:tabs>
          <w:tab w:val="right" w:leader="dot" w:pos="9070"/>
          <w:tab w:val="clear" w:pos="9060"/>
        </w:tabs>
      </w:pPr>
      <w:r>
        <w:fldChar w:fldCharType="begin"/>
      </w:r>
      <w:r>
        <w:instrText xml:space="preserve"> HYPERLINK \l _Toc942 </w:instrText>
      </w:r>
      <w:r>
        <w:fldChar w:fldCharType="separate"/>
      </w:r>
      <w:r>
        <w:rPr>
          <w:rFonts w:hint="eastAsia"/>
          <w:szCs w:val="24"/>
        </w:rPr>
        <w:t>2</w:t>
      </w:r>
      <w:r>
        <w:rPr>
          <w:szCs w:val="24"/>
        </w:rPr>
        <w:t>引用文</w:t>
      </w:r>
      <w:r>
        <w:rPr>
          <w:rFonts w:hint="eastAsia"/>
          <w:szCs w:val="24"/>
        </w:rPr>
        <w:t>件</w:t>
      </w:r>
      <w:r>
        <w:tab/>
      </w:r>
      <w:r>
        <w:fldChar w:fldCharType="begin"/>
      </w:r>
      <w:r>
        <w:instrText xml:space="preserve"> PAGEREF _Toc942 \h </w:instrText>
      </w:r>
      <w:r>
        <w:fldChar w:fldCharType="separate"/>
      </w:r>
      <w:r>
        <w:t>1</w:t>
      </w:r>
      <w:r>
        <w:fldChar w:fldCharType="end"/>
      </w:r>
      <w:r>
        <w:fldChar w:fldCharType="end"/>
      </w:r>
    </w:p>
    <w:p>
      <w:pPr>
        <w:pStyle w:val="16"/>
        <w:tabs>
          <w:tab w:val="right" w:leader="dot" w:pos="9070"/>
          <w:tab w:val="clear" w:pos="9060"/>
        </w:tabs>
      </w:pPr>
      <w:r>
        <w:fldChar w:fldCharType="begin"/>
      </w:r>
      <w:r>
        <w:instrText xml:space="preserve"> HYPERLINK \l _Toc12715 </w:instrText>
      </w:r>
      <w:r>
        <w:fldChar w:fldCharType="separate"/>
      </w:r>
      <w:r>
        <w:rPr>
          <w:rFonts w:hint="eastAsia"/>
          <w:szCs w:val="24"/>
        </w:rPr>
        <w:t>3</w:t>
      </w:r>
      <w:r>
        <w:rPr>
          <w:szCs w:val="24"/>
        </w:rPr>
        <w:t>概述</w:t>
      </w:r>
      <w:r>
        <w:tab/>
      </w:r>
      <w:r>
        <w:fldChar w:fldCharType="begin"/>
      </w:r>
      <w:r>
        <w:instrText xml:space="preserve"> PAGEREF _Toc12715 \h </w:instrText>
      </w:r>
      <w:r>
        <w:fldChar w:fldCharType="separate"/>
      </w:r>
      <w:r>
        <w:t>1</w:t>
      </w:r>
      <w:r>
        <w:fldChar w:fldCharType="end"/>
      </w:r>
      <w:r>
        <w:fldChar w:fldCharType="end"/>
      </w:r>
    </w:p>
    <w:p>
      <w:pPr>
        <w:pStyle w:val="16"/>
        <w:tabs>
          <w:tab w:val="right" w:leader="dot" w:pos="9070"/>
          <w:tab w:val="clear" w:pos="9060"/>
        </w:tabs>
      </w:pPr>
      <w:r>
        <w:fldChar w:fldCharType="begin"/>
      </w:r>
      <w:r>
        <w:instrText xml:space="preserve"> HYPERLINK \l _Toc29834 </w:instrText>
      </w:r>
      <w:r>
        <w:fldChar w:fldCharType="separate"/>
      </w:r>
      <w:r>
        <w:rPr>
          <w:rFonts w:hint="eastAsia"/>
          <w:szCs w:val="24"/>
        </w:rPr>
        <w:t>4</w:t>
      </w:r>
      <w:r>
        <w:rPr>
          <w:szCs w:val="24"/>
        </w:rPr>
        <w:t>计量</w:t>
      </w:r>
      <w:r>
        <w:rPr>
          <w:rFonts w:hint="eastAsia"/>
          <w:szCs w:val="24"/>
        </w:rPr>
        <w:t>特性</w:t>
      </w:r>
      <w:r>
        <w:tab/>
      </w:r>
      <w:r>
        <w:fldChar w:fldCharType="begin"/>
      </w:r>
      <w:r>
        <w:instrText xml:space="preserve"> PAGEREF _Toc29834 \h </w:instrText>
      </w:r>
      <w:r>
        <w:fldChar w:fldCharType="separate"/>
      </w:r>
      <w:r>
        <w:t>2</w:t>
      </w:r>
      <w:r>
        <w:fldChar w:fldCharType="end"/>
      </w:r>
      <w:r>
        <w:fldChar w:fldCharType="end"/>
      </w:r>
    </w:p>
    <w:p>
      <w:pPr>
        <w:pStyle w:val="16"/>
        <w:tabs>
          <w:tab w:val="right" w:leader="dot" w:pos="9070"/>
          <w:tab w:val="clear" w:pos="9060"/>
        </w:tabs>
      </w:pPr>
      <w:r>
        <w:fldChar w:fldCharType="begin"/>
      </w:r>
      <w:r>
        <w:instrText xml:space="preserve"> HYPERLINK \l _Toc11546 </w:instrText>
      </w:r>
      <w:r>
        <w:fldChar w:fldCharType="separate"/>
      </w:r>
      <w:r>
        <w:rPr>
          <w:rFonts w:hint="eastAsia"/>
          <w:szCs w:val="24"/>
        </w:rPr>
        <w:t>4.1频率响应</w:t>
      </w:r>
      <w:r>
        <w:tab/>
      </w:r>
      <w:r>
        <w:fldChar w:fldCharType="begin"/>
      </w:r>
      <w:r>
        <w:instrText xml:space="preserve"> PAGEREF _Toc11546 \h </w:instrText>
      </w:r>
      <w:r>
        <w:fldChar w:fldCharType="separate"/>
      </w:r>
      <w:r>
        <w:t>2</w:t>
      </w:r>
      <w:r>
        <w:fldChar w:fldCharType="end"/>
      </w:r>
      <w:r>
        <w:fldChar w:fldCharType="end"/>
      </w:r>
    </w:p>
    <w:p>
      <w:pPr>
        <w:pStyle w:val="16"/>
        <w:tabs>
          <w:tab w:val="right" w:leader="dot" w:pos="9070"/>
          <w:tab w:val="clear" w:pos="9060"/>
        </w:tabs>
      </w:pPr>
      <w:r>
        <w:fldChar w:fldCharType="begin"/>
      </w:r>
      <w:r>
        <w:instrText xml:space="preserve"> HYPERLINK \l _Toc2257 </w:instrText>
      </w:r>
      <w:r>
        <w:fldChar w:fldCharType="separate"/>
      </w:r>
      <w:r>
        <w:rPr>
          <w:rFonts w:hint="eastAsia"/>
          <w:szCs w:val="24"/>
        </w:rPr>
        <w:t>4.2幅值线性度</w:t>
      </w:r>
      <w:r>
        <w:tab/>
      </w:r>
      <w:r>
        <w:fldChar w:fldCharType="begin"/>
      </w:r>
      <w:r>
        <w:instrText xml:space="preserve"> PAGEREF _Toc2257 \h </w:instrText>
      </w:r>
      <w:r>
        <w:fldChar w:fldCharType="separate"/>
      </w:r>
      <w:r>
        <w:t>2</w:t>
      </w:r>
      <w:r>
        <w:fldChar w:fldCharType="end"/>
      </w:r>
      <w:r>
        <w:fldChar w:fldCharType="end"/>
      </w:r>
    </w:p>
    <w:p>
      <w:pPr>
        <w:pStyle w:val="16"/>
        <w:tabs>
          <w:tab w:val="right" w:leader="dot" w:pos="9070"/>
          <w:tab w:val="clear" w:pos="9060"/>
        </w:tabs>
      </w:pPr>
      <w:r>
        <w:fldChar w:fldCharType="begin"/>
      </w:r>
      <w:r>
        <w:instrText xml:space="preserve"> HYPERLINK \l _Toc2726 </w:instrText>
      </w:r>
      <w:r>
        <w:fldChar w:fldCharType="separate"/>
      </w:r>
      <w:r>
        <w:rPr>
          <w:rFonts w:hint="eastAsia"/>
          <w:szCs w:val="24"/>
        </w:rPr>
        <w:t>5</w:t>
      </w:r>
      <w:r>
        <w:rPr>
          <w:szCs w:val="24"/>
        </w:rPr>
        <w:t>校准</w:t>
      </w:r>
      <w:r>
        <w:rPr>
          <w:rFonts w:hint="eastAsia"/>
          <w:szCs w:val="24"/>
        </w:rPr>
        <w:t>条件</w:t>
      </w:r>
      <w:r>
        <w:tab/>
      </w:r>
      <w:r>
        <w:fldChar w:fldCharType="begin"/>
      </w:r>
      <w:r>
        <w:instrText xml:space="preserve"> PAGEREF _Toc2726 \h </w:instrText>
      </w:r>
      <w:r>
        <w:fldChar w:fldCharType="separate"/>
      </w:r>
      <w:r>
        <w:t>2</w:t>
      </w:r>
      <w:r>
        <w:fldChar w:fldCharType="end"/>
      </w:r>
      <w:r>
        <w:fldChar w:fldCharType="end"/>
      </w:r>
    </w:p>
    <w:p>
      <w:pPr>
        <w:pStyle w:val="16"/>
        <w:tabs>
          <w:tab w:val="right" w:leader="dot" w:pos="9070"/>
          <w:tab w:val="clear" w:pos="9060"/>
        </w:tabs>
      </w:pPr>
      <w:r>
        <w:fldChar w:fldCharType="begin"/>
      </w:r>
      <w:r>
        <w:instrText xml:space="preserve"> HYPERLINK \l _Toc5803 </w:instrText>
      </w:r>
      <w:r>
        <w:fldChar w:fldCharType="separate"/>
      </w:r>
      <w:r>
        <w:rPr>
          <w:rFonts w:hint="eastAsia"/>
          <w:szCs w:val="24"/>
        </w:rPr>
        <w:t>5</w:t>
      </w:r>
      <w:r>
        <w:rPr>
          <w:szCs w:val="24"/>
        </w:rPr>
        <w:t>.1环境条件</w:t>
      </w:r>
      <w:r>
        <w:tab/>
      </w:r>
      <w:r>
        <w:fldChar w:fldCharType="begin"/>
      </w:r>
      <w:r>
        <w:instrText xml:space="preserve"> PAGEREF _Toc5803 \h </w:instrText>
      </w:r>
      <w:r>
        <w:fldChar w:fldCharType="separate"/>
      </w:r>
      <w:r>
        <w:t>2</w:t>
      </w:r>
      <w:r>
        <w:fldChar w:fldCharType="end"/>
      </w:r>
      <w:r>
        <w:fldChar w:fldCharType="end"/>
      </w:r>
    </w:p>
    <w:p>
      <w:pPr>
        <w:pStyle w:val="16"/>
        <w:tabs>
          <w:tab w:val="right" w:leader="dot" w:pos="9070"/>
          <w:tab w:val="clear" w:pos="9060"/>
        </w:tabs>
      </w:pPr>
      <w:r>
        <w:fldChar w:fldCharType="begin"/>
      </w:r>
      <w:r>
        <w:instrText xml:space="preserve"> HYPERLINK \l _Toc3263 </w:instrText>
      </w:r>
      <w:r>
        <w:fldChar w:fldCharType="separate"/>
      </w:r>
      <w:r>
        <w:rPr>
          <w:rFonts w:hint="eastAsia"/>
          <w:szCs w:val="24"/>
        </w:rPr>
        <w:t>5</w:t>
      </w:r>
      <w:r>
        <w:rPr>
          <w:szCs w:val="24"/>
        </w:rPr>
        <w:t>.</w:t>
      </w:r>
      <w:r>
        <w:rPr>
          <w:rFonts w:hint="eastAsia"/>
          <w:szCs w:val="24"/>
        </w:rPr>
        <w:t>2测量标准及其他设备</w:t>
      </w:r>
      <w:r>
        <w:tab/>
      </w:r>
      <w:r>
        <w:fldChar w:fldCharType="begin"/>
      </w:r>
      <w:r>
        <w:instrText xml:space="preserve"> PAGEREF _Toc3263 \h </w:instrText>
      </w:r>
      <w:r>
        <w:fldChar w:fldCharType="separate"/>
      </w:r>
      <w:r>
        <w:t>2</w:t>
      </w:r>
      <w:r>
        <w:fldChar w:fldCharType="end"/>
      </w:r>
      <w:r>
        <w:fldChar w:fldCharType="end"/>
      </w:r>
    </w:p>
    <w:p>
      <w:pPr>
        <w:pStyle w:val="16"/>
        <w:tabs>
          <w:tab w:val="right" w:leader="dot" w:pos="9070"/>
          <w:tab w:val="clear" w:pos="9060"/>
        </w:tabs>
      </w:pPr>
      <w:r>
        <w:fldChar w:fldCharType="begin"/>
      </w:r>
      <w:r>
        <w:instrText xml:space="preserve"> HYPERLINK \l _Toc12294 </w:instrText>
      </w:r>
      <w:r>
        <w:fldChar w:fldCharType="separate"/>
      </w:r>
      <w:r>
        <w:rPr>
          <w:rFonts w:hint="eastAsia"/>
          <w:szCs w:val="24"/>
        </w:rPr>
        <w:t>6</w:t>
      </w:r>
      <w:r>
        <w:rPr>
          <w:szCs w:val="24"/>
        </w:rPr>
        <w:t>校准项目和校准方法</w:t>
      </w:r>
      <w:r>
        <w:tab/>
      </w:r>
      <w:r>
        <w:fldChar w:fldCharType="begin"/>
      </w:r>
      <w:r>
        <w:instrText xml:space="preserve"> PAGEREF _Toc12294 \h </w:instrText>
      </w:r>
      <w:r>
        <w:fldChar w:fldCharType="separate"/>
      </w:r>
      <w:r>
        <w:t>3</w:t>
      </w:r>
      <w:r>
        <w:fldChar w:fldCharType="end"/>
      </w:r>
      <w:r>
        <w:fldChar w:fldCharType="end"/>
      </w:r>
    </w:p>
    <w:p>
      <w:pPr>
        <w:pStyle w:val="16"/>
        <w:tabs>
          <w:tab w:val="right" w:leader="dot" w:pos="9070"/>
          <w:tab w:val="clear" w:pos="9060"/>
        </w:tabs>
      </w:pPr>
      <w:r>
        <w:fldChar w:fldCharType="begin"/>
      </w:r>
      <w:r>
        <w:instrText xml:space="preserve"> HYPERLINK \l _Toc31191 </w:instrText>
      </w:r>
      <w:r>
        <w:fldChar w:fldCharType="separate"/>
      </w:r>
      <w:r>
        <w:rPr>
          <w:rFonts w:hint="eastAsia"/>
          <w:szCs w:val="24"/>
        </w:rPr>
        <w:t>6.1校准项目</w:t>
      </w:r>
      <w:r>
        <w:tab/>
      </w:r>
      <w:r>
        <w:fldChar w:fldCharType="begin"/>
      </w:r>
      <w:r>
        <w:instrText xml:space="preserve"> PAGEREF _Toc31191 \h </w:instrText>
      </w:r>
      <w:r>
        <w:fldChar w:fldCharType="separate"/>
      </w:r>
      <w:r>
        <w:t>3</w:t>
      </w:r>
      <w:r>
        <w:fldChar w:fldCharType="end"/>
      </w:r>
      <w:r>
        <w:fldChar w:fldCharType="end"/>
      </w:r>
    </w:p>
    <w:p>
      <w:pPr>
        <w:pStyle w:val="16"/>
        <w:tabs>
          <w:tab w:val="right" w:leader="dot" w:pos="9070"/>
          <w:tab w:val="clear" w:pos="9060"/>
        </w:tabs>
      </w:pPr>
      <w:r>
        <w:fldChar w:fldCharType="begin"/>
      </w:r>
      <w:r>
        <w:instrText xml:space="preserve"> HYPERLINK \l _Toc29922 </w:instrText>
      </w:r>
      <w:r>
        <w:fldChar w:fldCharType="separate"/>
      </w:r>
      <w:r>
        <w:rPr>
          <w:rFonts w:hint="eastAsia"/>
          <w:szCs w:val="24"/>
        </w:rPr>
        <w:t>6</w:t>
      </w:r>
      <w:r>
        <w:rPr>
          <w:szCs w:val="24"/>
        </w:rPr>
        <w:t>.</w:t>
      </w:r>
      <w:r>
        <w:rPr>
          <w:rFonts w:hint="eastAsia"/>
          <w:szCs w:val="24"/>
        </w:rPr>
        <w:t>2校准方法</w:t>
      </w:r>
      <w:r>
        <w:tab/>
      </w:r>
      <w:r>
        <w:fldChar w:fldCharType="begin"/>
      </w:r>
      <w:r>
        <w:instrText xml:space="preserve"> PAGEREF _Toc29922 \h </w:instrText>
      </w:r>
      <w:r>
        <w:fldChar w:fldCharType="separate"/>
      </w:r>
      <w:r>
        <w:t>3</w:t>
      </w:r>
      <w:r>
        <w:fldChar w:fldCharType="end"/>
      </w:r>
      <w:r>
        <w:fldChar w:fldCharType="end"/>
      </w:r>
    </w:p>
    <w:p>
      <w:pPr>
        <w:pStyle w:val="16"/>
        <w:tabs>
          <w:tab w:val="right" w:leader="dot" w:pos="9070"/>
          <w:tab w:val="clear" w:pos="9060"/>
        </w:tabs>
      </w:pPr>
      <w:r>
        <w:fldChar w:fldCharType="begin"/>
      </w:r>
      <w:r>
        <w:instrText xml:space="preserve"> HYPERLINK \l _Toc24568 </w:instrText>
      </w:r>
      <w:r>
        <w:fldChar w:fldCharType="separate"/>
      </w:r>
      <w:r>
        <w:rPr>
          <w:rFonts w:hint="eastAsia"/>
          <w:szCs w:val="24"/>
        </w:rPr>
        <w:t>7</w:t>
      </w:r>
      <w:r>
        <w:rPr>
          <w:szCs w:val="24"/>
        </w:rPr>
        <w:t>校准结果表达</w:t>
      </w:r>
      <w:r>
        <w:tab/>
      </w:r>
      <w:r>
        <w:fldChar w:fldCharType="begin"/>
      </w:r>
      <w:r>
        <w:instrText xml:space="preserve"> PAGEREF _Toc24568 \h </w:instrText>
      </w:r>
      <w:r>
        <w:fldChar w:fldCharType="separate"/>
      </w:r>
      <w:r>
        <w:t>6</w:t>
      </w:r>
      <w:r>
        <w:fldChar w:fldCharType="end"/>
      </w:r>
      <w:r>
        <w:fldChar w:fldCharType="end"/>
      </w:r>
    </w:p>
    <w:p>
      <w:pPr>
        <w:pStyle w:val="16"/>
        <w:tabs>
          <w:tab w:val="right" w:leader="dot" w:pos="9070"/>
          <w:tab w:val="clear" w:pos="9060"/>
        </w:tabs>
      </w:pPr>
      <w:r>
        <w:fldChar w:fldCharType="begin"/>
      </w:r>
      <w:r>
        <w:instrText xml:space="preserve"> HYPERLINK \l _Toc6403 </w:instrText>
      </w:r>
      <w:r>
        <w:fldChar w:fldCharType="separate"/>
      </w:r>
      <w:r>
        <w:rPr>
          <w:rFonts w:hint="eastAsia"/>
          <w:szCs w:val="24"/>
        </w:rPr>
        <w:t>8</w:t>
      </w:r>
      <w:r>
        <w:rPr>
          <w:szCs w:val="24"/>
        </w:rPr>
        <w:t>复校时间间隔</w:t>
      </w:r>
      <w:r>
        <w:tab/>
      </w:r>
      <w:r>
        <w:fldChar w:fldCharType="begin"/>
      </w:r>
      <w:r>
        <w:instrText xml:space="preserve"> PAGEREF _Toc6403 \h </w:instrText>
      </w:r>
      <w:r>
        <w:fldChar w:fldCharType="separate"/>
      </w:r>
      <w:r>
        <w:t>7</w:t>
      </w:r>
      <w:r>
        <w:fldChar w:fldCharType="end"/>
      </w:r>
      <w:r>
        <w:fldChar w:fldCharType="end"/>
      </w:r>
    </w:p>
    <w:p>
      <w:pPr>
        <w:pStyle w:val="16"/>
        <w:tabs>
          <w:tab w:val="right" w:leader="dot" w:pos="9070"/>
          <w:tab w:val="clear" w:pos="9060"/>
        </w:tabs>
      </w:pPr>
      <w:r>
        <w:fldChar w:fldCharType="begin"/>
      </w:r>
      <w:r>
        <w:instrText xml:space="preserve"> HYPERLINK \l _Toc4655 </w:instrText>
      </w:r>
      <w:r>
        <w:fldChar w:fldCharType="separate"/>
      </w:r>
      <w:r>
        <w:rPr>
          <w:szCs w:val="28"/>
        </w:rPr>
        <w:t>附录</w:t>
      </w:r>
      <w:r>
        <w:rPr>
          <w:rFonts w:hint="eastAsia"/>
          <w:szCs w:val="28"/>
        </w:rPr>
        <w:t>A</w:t>
      </w:r>
      <w:r>
        <w:fldChar w:fldCharType="end"/>
      </w:r>
      <w:r>
        <w:fldChar w:fldCharType="begin"/>
      </w:r>
      <w:r>
        <w:instrText xml:space="preserve"> HYPERLINK \l _Toc16431 </w:instrText>
      </w:r>
      <w:r>
        <w:fldChar w:fldCharType="separate"/>
      </w:r>
      <w:r>
        <w:rPr>
          <w:rFonts w:hint="eastAsia"/>
          <w:szCs w:val="24"/>
        </w:rPr>
        <w:t>振动变送器校准接线图</w:t>
      </w:r>
      <w:r>
        <w:tab/>
      </w:r>
      <w:r>
        <w:fldChar w:fldCharType="begin"/>
      </w:r>
      <w:r>
        <w:instrText xml:space="preserve"> PAGEREF _Toc16431 \h </w:instrText>
      </w:r>
      <w:r>
        <w:fldChar w:fldCharType="separate"/>
      </w:r>
      <w:r>
        <w:t>8</w:t>
      </w:r>
      <w:r>
        <w:fldChar w:fldCharType="end"/>
      </w:r>
      <w:r>
        <w:fldChar w:fldCharType="end"/>
      </w:r>
    </w:p>
    <w:p>
      <w:pPr>
        <w:pStyle w:val="16"/>
        <w:tabs>
          <w:tab w:val="right" w:leader="dot" w:pos="9070"/>
          <w:tab w:val="clear" w:pos="9060"/>
        </w:tabs>
      </w:pPr>
      <w:r>
        <w:fldChar w:fldCharType="begin"/>
      </w:r>
      <w:r>
        <w:instrText xml:space="preserve"> HYPERLINK \l _Toc5717 </w:instrText>
      </w:r>
      <w:r>
        <w:fldChar w:fldCharType="separate"/>
      </w:r>
      <w:r>
        <w:rPr>
          <w:rFonts w:ascii="黑体" w:hAnsi="黑体"/>
          <w:szCs w:val="28"/>
        </w:rPr>
        <w:t>附录</w:t>
      </w:r>
      <w:r>
        <w:rPr>
          <w:rFonts w:hint="eastAsia" w:ascii="黑体" w:hAnsi="黑体"/>
          <w:szCs w:val="28"/>
        </w:rPr>
        <w:t>B</w:t>
      </w:r>
      <w:r>
        <w:fldChar w:fldCharType="end"/>
      </w:r>
      <w:r>
        <w:fldChar w:fldCharType="begin"/>
      </w:r>
      <w:r>
        <w:instrText xml:space="preserve"> HYPERLINK \l _Toc11618 </w:instrText>
      </w:r>
      <w:r>
        <w:fldChar w:fldCharType="separate"/>
      </w:r>
      <w:r>
        <w:rPr>
          <w:rFonts w:hint="eastAsia" w:ascii="黑体"/>
          <w:szCs w:val="28"/>
        </w:rPr>
        <w:t>振动变送器</w:t>
      </w:r>
      <w:r>
        <w:rPr>
          <w:szCs w:val="28"/>
        </w:rPr>
        <w:t>校准记录</w:t>
      </w:r>
      <w:r>
        <w:tab/>
      </w:r>
      <w:r>
        <w:fldChar w:fldCharType="begin"/>
      </w:r>
      <w:r>
        <w:instrText xml:space="preserve"> PAGEREF _Toc11618 \h </w:instrText>
      </w:r>
      <w:r>
        <w:fldChar w:fldCharType="separate"/>
      </w:r>
      <w:r>
        <w:t>9</w:t>
      </w:r>
      <w:r>
        <w:fldChar w:fldCharType="end"/>
      </w:r>
      <w:r>
        <w:fldChar w:fldCharType="end"/>
      </w:r>
    </w:p>
    <w:p>
      <w:pPr>
        <w:pStyle w:val="16"/>
        <w:tabs>
          <w:tab w:val="right" w:leader="dot" w:pos="9070"/>
          <w:tab w:val="clear" w:pos="9060"/>
        </w:tabs>
      </w:pPr>
      <w:r>
        <w:fldChar w:fldCharType="begin"/>
      </w:r>
      <w:r>
        <w:instrText xml:space="preserve"> HYPERLINK \l _Toc11758 </w:instrText>
      </w:r>
      <w:r>
        <w:fldChar w:fldCharType="separate"/>
      </w:r>
      <w:r>
        <w:rPr>
          <w:rFonts w:ascii="黑体" w:hAnsi="黑体"/>
          <w:szCs w:val="28"/>
        </w:rPr>
        <w:t>附录</w:t>
      </w:r>
      <w:r>
        <w:rPr>
          <w:rFonts w:hint="eastAsia" w:ascii="黑体" w:hAnsi="黑体"/>
          <w:szCs w:val="28"/>
        </w:rPr>
        <w:t>C</w:t>
      </w:r>
      <w:r>
        <w:fldChar w:fldCharType="end"/>
      </w:r>
      <w:r>
        <w:fldChar w:fldCharType="begin"/>
      </w:r>
      <w:r>
        <w:instrText xml:space="preserve"> HYPERLINK \l _Toc25760 </w:instrText>
      </w:r>
      <w:r>
        <w:fldChar w:fldCharType="separate"/>
      </w:r>
      <w:r>
        <w:rPr>
          <w:rFonts w:hint="eastAsia"/>
          <w:szCs w:val="28"/>
        </w:rPr>
        <w:t>振动变送器比较法校准输出测量结果的不确定度评定示例</w:t>
      </w:r>
      <w:r>
        <w:tab/>
      </w:r>
      <w:r>
        <w:fldChar w:fldCharType="begin"/>
      </w:r>
      <w:r>
        <w:instrText xml:space="preserve"> PAGEREF _Toc25760 \h </w:instrText>
      </w:r>
      <w:r>
        <w:fldChar w:fldCharType="separate"/>
      </w:r>
      <w:r>
        <w:t>10</w:t>
      </w:r>
      <w:r>
        <w:fldChar w:fldCharType="end"/>
      </w:r>
      <w:r>
        <w:fldChar w:fldCharType="end"/>
      </w:r>
    </w:p>
    <w:p>
      <w:pPr>
        <w:pStyle w:val="16"/>
        <w:rPr>
          <w:rFonts w:eastAsia="黑体"/>
          <w:sz w:val="28"/>
        </w:rPr>
      </w:pPr>
      <w:r>
        <w:fldChar w:fldCharType="end"/>
      </w:r>
    </w:p>
    <w:p>
      <w:pPr>
        <w:pStyle w:val="21"/>
        <w:rPr>
          <w:sz w:val="44"/>
          <w:szCs w:val="44"/>
        </w:rPr>
      </w:pPr>
      <w:bookmarkStart w:id="3" w:name="_Toc457593565"/>
      <w:bookmarkStart w:id="4" w:name="_Toc494042437"/>
      <w:bookmarkStart w:id="5" w:name="_Toc494042540"/>
      <w:bookmarkStart w:id="6" w:name="_Toc494042491"/>
    </w:p>
    <w:p/>
    <w:p/>
    <w:p/>
    <w:p/>
    <w:p/>
    <w:p/>
    <w:p>
      <w:pPr>
        <w:pStyle w:val="21"/>
        <w:rPr>
          <w:sz w:val="44"/>
          <w:szCs w:val="44"/>
        </w:rPr>
      </w:pPr>
      <w:bookmarkStart w:id="7" w:name="_Toc14602"/>
      <w:r>
        <w:rPr>
          <w:rFonts w:hint="eastAsia"/>
          <w:sz w:val="44"/>
          <w:szCs w:val="44"/>
        </w:rPr>
        <w:t>引    言</w:t>
      </w:r>
      <w:bookmarkEnd w:id="3"/>
      <w:bookmarkEnd w:id="4"/>
      <w:bookmarkEnd w:id="5"/>
      <w:bookmarkEnd w:id="6"/>
      <w:bookmarkEnd w:id="7"/>
    </w:p>
    <w:p/>
    <w:p>
      <w:pPr>
        <w:pStyle w:val="40"/>
        <w:adjustRightInd w:val="0"/>
        <w:snapToGrid w:val="0"/>
        <w:spacing w:line="360" w:lineRule="auto"/>
        <w:ind w:left="465" w:firstLine="0" w:firstLineChars="0"/>
        <w:jc w:val="left"/>
        <w:rPr>
          <w:rFonts w:cs="??" w:asciiTheme="minorEastAsia" w:hAnsiTheme="minorEastAsia" w:eastAsiaTheme="minorEastAsia"/>
          <w:color w:val="000000" w:themeColor="text1"/>
          <w:kern w:val="0"/>
          <w:sz w:val="24"/>
        </w:rPr>
      </w:pPr>
      <w:r>
        <w:rPr>
          <w:rFonts w:cs="??" w:asciiTheme="minorEastAsia" w:hAnsiTheme="minorEastAsia" w:eastAsiaTheme="minorEastAsia"/>
          <w:color w:val="000000" w:themeColor="text1"/>
          <w:kern w:val="0"/>
          <w:sz w:val="24"/>
        </w:rPr>
        <w:t>JJF</w:t>
      </w:r>
      <w:r>
        <w:rPr>
          <w:rFonts w:hint="eastAsia" w:cs="??" w:asciiTheme="minorEastAsia" w:hAnsiTheme="minorEastAsia" w:eastAsiaTheme="minorEastAsia"/>
          <w:color w:val="000000" w:themeColor="text1"/>
          <w:kern w:val="0"/>
          <w:sz w:val="24"/>
        </w:rPr>
        <w:t xml:space="preserve"> </w:t>
      </w:r>
      <w:r>
        <w:rPr>
          <w:rFonts w:cs="??" w:asciiTheme="minorEastAsia" w:hAnsiTheme="minorEastAsia" w:eastAsiaTheme="minorEastAsia"/>
          <w:color w:val="000000" w:themeColor="text1"/>
          <w:kern w:val="0"/>
          <w:sz w:val="24"/>
        </w:rPr>
        <w:t>1001</w:t>
      </w:r>
      <w:r>
        <w:rPr>
          <w:rFonts w:hint="eastAsia" w:cs="??" w:asciiTheme="minorEastAsia" w:hAnsiTheme="minorEastAsia" w:eastAsiaTheme="minorEastAsia"/>
          <w:color w:val="000000" w:themeColor="text1"/>
          <w:kern w:val="0"/>
          <w:sz w:val="24"/>
        </w:rPr>
        <w:t>《通用计量术语及定义》、JJF 1059.1《测量不确定度评定与表示》、</w:t>
      </w:r>
      <w:r>
        <w:rPr>
          <w:rFonts w:cs="??" w:asciiTheme="minorEastAsia" w:hAnsiTheme="minorEastAsia" w:eastAsiaTheme="minorEastAsia"/>
          <w:color w:val="000000" w:themeColor="text1"/>
          <w:kern w:val="0"/>
          <w:sz w:val="24"/>
        </w:rPr>
        <w:t>JJF</w:t>
      </w:r>
      <w:r>
        <w:rPr>
          <w:rFonts w:hint="eastAsia" w:cs="??" w:asciiTheme="minorEastAsia" w:hAnsiTheme="minorEastAsia" w:eastAsiaTheme="minorEastAsia"/>
          <w:color w:val="000000" w:themeColor="text1"/>
          <w:kern w:val="0"/>
          <w:sz w:val="24"/>
        </w:rPr>
        <w:t xml:space="preserve"> </w:t>
      </w:r>
    </w:p>
    <w:p>
      <w:pPr>
        <w:adjustRightInd w:val="0"/>
        <w:snapToGrid w:val="0"/>
        <w:spacing w:line="360" w:lineRule="auto"/>
        <w:jc w:val="left"/>
        <w:rPr>
          <w:rFonts w:cs="??" w:asciiTheme="minorEastAsia" w:hAnsiTheme="minorEastAsia" w:eastAsiaTheme="minorEastAsia"/>
          <w:color w:val="000000" w:themeColor="text1"/>
          <w:kern w:val="0"/>
          <w:sz w:val="24"/>
        </w:rPr>
      </w:pPr>
      <w:r>
        <w:rPr>
          <w:rFonts w:hint="eastAsia" w:cs="??" w:asciiTheme="minorEastAsia" w:hAnsiTheme="minorEastAsia" w:eastAsiaTheme="minorEastAsia"/>
          <w:color w:val="000000" w:themeColor="text1"/>
          <w:kern w:val="0"/>
          <w:sz w:val="24"/>
        </w:rPr>
        <w:t>1071《国家计量校准规范编写规则》、</w:t>
      </w:r>
      <w:r>
        <w:rPr>
          <w:rFonts w:hint="eastAsia" w:ascii="宋体" w:hAnsi="宋体" w:cs="宋体"/>
          <w:color w:val="000000" w:themeColor="text1"/>
          <w:sz w:val="24"/>
        </w:rPr>
        <w:t>JJF 1094《测量仪器特性评定》</w:t>
      </w:r>
      <w:r>
        <w:rPr>
          <w:rFonts w:hint="eastAsia" w:cs="??" w:asciiTheme="minorEastAsia" w:hAnsiTheme="minorEastAsia" w:eastAsiaTheme="minorEastAsia"/>
          <w:color w:val="000000" w:themeColor="text1"/>
          <w:kern w:val="0"/>
          <w:sz w:val="24"/>
        </w:rPr>
        <w:t>共同构成支撑本规范修订的基础性系列规范。</w:t>
      </w:r>
    </w:p>
    <w:p>
      <w:pPr>
        <w:pStyle w:val="40"/>
        <w:adjustRightInd w:val="0"/>
        <w:snapToGrid w:val="0"/>
        <w:spacing w:line="360" w:lineRule="auto"/>
        <w:ind w:left="465" w:firstLine="0" w:firstLineChars="0"/>
        <w:jc w:val="left"/>
        <w:rPr>
          <w:rFonts w:cs="??" w:asciiTheme="minorEastAsia" w:hAnsiTheme="minorEastAsia" w:eastAsiaTheme="minorEastAsia"/>
          <w:color w:val="000000"/>
          <w:kern w:val="0"/>
          <w:sz w:val="24"/>
        </w:rPr>
      </w:pPr>
      <w:bookmarkStart w:id="8" w:name="_Toc494042438"/>
      <w:bookmarkStart w:id="9" w:name="_Toc511569523"/>
      <w:bookmarkStart w:id="10" w:name="_Toc494042492"/>
      <w:bookmarkStart w:id="11" w:name="_Toc494042541"/>
      <w:bookmarkStart w:id="12" w:name="_Toc457593566"/>
      <w:bookmarkStart w:id="13" w:name="_Toc512449759"/>
      <w:r>
        <w:rPr>
          <w:rFonts w:hint="eastAsia" w:cs="??" w:asciiTheme="minorEastAsia" w:hAnsiTheme="minorEastAsia" w:eastAsiaTheme="minorEastAsia"/>
          <w:color w:val="000000"/>
          <w:kern w:val="0"/>
          <w:sz w:val="24"/>
        </w:rPr>
        <w:t xml:space="preserve"> 本规范主要参考了</w:t>
      </w:r>
      <w:r>
        <w:rPr>
          <w:rFonts w:cs="??" w:asciiTheme="minorEastAsia" w:hAnsiTheme="minorEastAsia" w:eastAsiaTheme="minorEastAsia"/>
          <w:color w:val="000000"/>
          <w:kern w:val="0"/>
          <w:sz w:val="24"/>
        </w:rPr>
        <w:t xml:space="preserve"> JJG</w:t>
      </w:r>
      <w:r>
        <w:rPr>
          <w:rFonts w:hint="eastAsia" w:cs="??" w:asciiTheme="minorEastAsia" w:hAnsiTheme="minorEastAsia" w:eastAsiaTheme="minorEastAsia"/>
          <w:color w:val="000000"/>
          <w:kern w:val="0"/>
          <w:sz w:val="24"/>
        </w:rPr>
        <w:t xml:space="preserve"> </w:t>
      </w:r>
      <w:r>
        <w:rPr>
          <w:rFonts w:cs="??" w:asciiTheme="minorEastAsia" w:hAnsiTheme="minorEastAsia" w:eastAsiaTheme="minorEastAsia"/>
          <w:color w:val="000000"/>
          <w:kern w:val="0"/>
          <w:sz w:val="24"/>
        </w:rPr>
        <w:t>1</w:t>
      </w:r>
      <w:r>
        <w:rPr>
          <w:rFonts w:hint="eastAsia" w:cs="??" w:asciiTheme="minorEastAsia" w:hAnsiTheme="minorEastAsia" w:eastAsiaTheme="minorEastAsia"/>
          <w:color w:val="000000"/>
          <w:kern w:val="0"/>
          <w:sz w:val="24"/>
        </w:rPr>
        <w:t>34《磁电式速度传感器》、</w:t>
      </w:r>
      <w:r>
        <w:rPr>
          <w:rFonts w:cs="??" w:asciiTheme="minorEastAsia" w:hAnsiTheme="minorEastAsia" w:eastAsiaTheme="minorEastAsia"/>
          <w:color w:val="000000"/>
          <w:kern w:val="0"/>
          <w:sz w:val="24"/>
        </w:rPr>
        <w:t>JJG</w:t>
      </w:r>
      <w:r>
        <w:rPr>
          <w:rFonts w:hint="eastAsia" w:cs="??" w:asciiTheme="minorEastAsia" w:hAnsiTheme="minorEastAsia" w:eastAsiaTheme="minorEastAsia"/>
          <w:color w:val="000000"/>
          <w:kern w:val="0"/>
          <w:sz w:val="24"/>
        </w:rPr>
        <w:t xml:space="preserve"> 233《压电加速度计》、</w:t>
      </w:r>
    </w:p>
    <w:p>
      <w:pPr>
        <w:adjustRightInd w:val="0"/>
        <w:snapToGrid w:val="0"/>
        <w:spacing w:line="360" w:lineRule="auto"/>
        <w:jc w:val="left"/>
        <w:rPr>
          <w:rFonts w:ascii="宋体" w:hAnsi="宋体" w:cs="宋体"/>
          <w:sz w:val="24"/>
        </w:rPr>
      </w:pPr>
      <w:r>
        <w:rPr>
          <w:rFonts w:hint="eastAsia" w:cs="??" w:asciiTheme="minorEastAsia" w:hAnsiTheme="minorEastAsia" w:eastAsiaTheme="minorEastAsia"/>
          <w:color w:val="000000"/>
          <w:kern w:val="0"/>
          <w:sz w:val="24"/>
        </w:rPr>
        <w:t>JJG 644《</w:t>
      </w:r>
      <w:r>
        <w:rPr>
          <w:rFonts w:cs="??" w:asciiTheme="minorEastAsia" w:hAnsiTheme="minorEastAsia" w:eastAsiaTheme="minorEastAsia"/>
          <w:color w:val="000000"/>
          <w:kern w:val="0"/>
          <w:sz w:val="24"/>
        </w:rPr>
        <w:t>振动位移传感器</w:t>
      </w:r>
      <w:r>
        <w:rPr>
          <w:rFonts w:hint="eastAsia" w:cs="??" w:asciiTheme="minorEastAsia" w:hAnsiTheme="minorEastAsia" w:eastAsiaTheme="minorEastAsia"/>
          <w:color w:val="000000"/>
          <w:kern w:val="0"/>
          <w:sz w:val="24"/>
        </w:rPr>
        <w:t>》、</w:t>
      </w:r>
      <w:r>
        <w:rPr>
          <w:rFonts w:hint="eastAsia" w:ascii="宋体" w:hAnsi="宋体" w:cs="宋体"/>
          <w:sz w:val="24"/>
        </w:rPr>
        <w:t>JJG 676</w:t>
      </w:r>
      <w:r>
        <w:rPr>
          <w:rFonts w:hint="eastAsia" w:cs="??" w:asciiTheme="minorEastAsia" w:hAnsiTheme="minorEastAsia" w:eastAsiaTheme="minorEastAsia"/>
          <w:color w:val="000000"/>
          <w:kern w:val="0"/>
          <w:sz w:val="24"/>
        </w:rPr>
        <w:t>《测振仪》、JJF 1156《振动冲击转速计量术语及定义》、</w:t>
      </w:r>
      <w:r>
        <w:rPr>
          <w:rFonts w:hint="eastAsia" w:ascii="宋体" w:hAnsi="宋体" w:cs="宋体"/>
          <w:sz w:val="24"/>
        </w:rPr>
        <w:t>GB/T 20485.21 《振动与冲击传感器校准方法 第21部分：振动比较法校准》</w:t>
      </w:r>
    </w:p>
    <w:p>
      <w:pPr>
        <w:adjustRightInd w:val="0"/>
        <w:snapToGrid w:val="0"/>
        <w:spacing w:line="360" w:lineRule="auto"/>
        <w:jc w:val="left"/>
        <w:rPr>
          <w:rFonts w:cs="??" w:asciiTheme="minorEastAsia" w:hAnsiTheme="minorEastAsia" w:eastAsiaTheme="minorEastAsia"/>
          <w:color w:val="000000"/>
          <w:kern w:val="0"/>
          <w:sz w:val="24"/>
        </w:rPr>
      </w:pPr>
      <w:r>
        <w:rPr>
          <w:rFonts w:hint="eastAsia" w:cs="??" w:asciiTheme="minorEastAsia" w:hAnsiTheme="minorEastAsia" w:eastAsiaTheme="minorEastAsia"/>
          <w:color w:val="000000"/>
          <w:kern w:val="0"/>
          <w:sz w:val="24"/>
        </w:rPr>
        <w:t>等计量技术规范</w:t>
      </w:r>
      <w:bookmarkEnd w:id="8"/>
      <w:bookmarkEnd w:id="9"/>
      <w:bookmarkEnd w:id="10"/>
      <w:bookmarkEnd w:id="11"/>
      <w:bookmarkEnd w:id="12"/>
      <w:r>
        <w:rPr>
          <w:rFonts w:hint="eastAsia" w:cs="??" w:asciiTheme="minorEastAsia" w:hAnsiTheme="minorEastAsia" w:eastAsiaTheme="minorEastAsia"/>
          <w:color w:val="000000"/>
          <w:kern w:val="0"/>
          <w:sz w:val="24"/>
        </w:rPr>
        <w:t>。</w:t>
      </w:r>
      <w:bookmarkEnd w:id="13"/>
    </w:p>
    <w:p>
      <w:pPr>
        <w:spacing w:line="360" w:lineRule="auto"/>
      </w:pPr>
      <w:r>
        <w:rPr>
          <w:rFonts w:hint="eastAsia" w:cs="??" w:asciiTheme="minorEastAsia" w:hAnsiTheme="minorEastAsia" w:eastAsiaTheme="minorEastAsia"/>
          <w:color w:val="000000"/>
          <w:kern w:val="0"/>
          <w:sz w:val="24"/>
        </w:rPr>
        <w:t xml:space="preserve">     本规范为首次发布。</w:t>
      </w:r>
    </w:p>
    <w:p>
      <w:pPr>
        <w:sectPr>
          <w:footerReference r:id="rId10" w:type="first"/>
          <w:footerReference r:id="rId9" w:type="default"/>
          <w:pgSz w:w="11906" w:h="16838"/>
          <w:pgMar w:top="1701" w:right="1418" w:bottom="1020" w:left="1418" w:header="1400" w:footer="992" w:gutter="0"/>
          <w:pgNumType w:fmt="upperRoman" w:start="1"/>
          <w:cols w:space="720" w:num="1"/>
          <w:titlePg/>
          <w:docGrid w:type="lines" w:linePitch="312" w:charSpace="0"/>
        </w:sectPr>
      </w:pPr>
    </w:p>
    <w:p/>
    <w:p>
      <w:pPr>
        <w:jc w:val="center"/>
        <w:rPr>
          <w:rFonts w:ascii="黑体" w:hAnsi="黑体" w:eastAsia="黑体"/>
          <w:sz w:val="32"/>
          <w:szCs w:val="32"/>
        </w:rPr>
      </w:pPr>
      <w:bookmarkStart w:id="14" w:name="_Toc457593567"/>
      <w:bookmarkStart w:id="15" w:name="_Toc494042439"/>
      <w:bookmarkStart w:id="16" w:name="_Toc512449760"/>
      <w:bookmarkStart w:id="17" w:name="_Toc494042542"/>
      <w:bookmarkStart w:id="18" w:name="_Toc511569524"/>
      <w:bookmarkStart w:id="19" w:name="_Toc494042493"/>
      <w:r>
        <w:rPr>
          <w:rFonts w:hint="eastAsia" w:ascii="黑体" w:hAnsi="黑体" w:eastAsia="黑体"/>
          <w:sz w:val="32"/>
          <w:szCs w:val="32"/>
        </w:rPr>
        <w:t>振动变送器校准规范</w:t>
      </w:r>
      <w:bookmarkEnd w:id="14"/>
      <w:bookmarkEnd w:id="15"/>
      <w:bookmarkEnd w:id="16"/>
      <w:bookmarkEnd w:id="17"/>
      <w:bookmarkEnd w:id="18"/>
      <w:bookmarkEnd w:id="19"/>
    </w:p>
    <w:p>
      <w:pPr>
        <w:pStyle w:val="21"/>
        <w:adjustRightInd w:val="0"/>
        <w:spacing w:before="120" w:after="120" w:line="360" w:lineRule="auto"/>
        <w:contextualSpacing/>
        <w:jc w:val="both"/>
        <w:rPr>
          <w:sz w:val="24"/>
          <w:szCs w:val="24"/>
        </w:rPr>
      </w:pPr>
      <w:bookmarkStart w:id="20" w:name="_Toc31701"/>
      <w:r>
        <w:rPr>
          <w:rFonts w:hint="eastAsia"/>
          <w:sz w:val="24"/>
          <w:szCs w:val="24"/>
        </w:rPr>
        <w:t>1</w:t>
      </w:r>
      <w:r>
        <w:rPr>
          <w:sz w:val="24"/>
          <w:szCs w:val="24"/>
        </w:rPr>
        <w:t>范围</w:t>
      </w:r>
      <w:bookmarkEnd w:id="20"/>
    </w:p>
    <w:p>
      <w:pPr>
        <w:pStyle w:val="7"/>
        <w:adjustRightInd w:val="0"/>
        <w:snapToGrid w:val="0"/>
        <w:spacing w:line="360" w:lineRule="auto"/>
        <w:ind w:firstLine="480"/>
        <w:rPr>
          <w:rFonts w:ascii="Arial" w:hAnsi="Arial" w:cs="Arial"/>
        </w:rPr>
      </w:pPr>
      <w:r>
        <w:rPr>
          <w:rFonts w:hint="eastAsia" w:ascii="宋体" w:hAnsi="宋体" w:cs="宋体"/>
        </w:rPr>
        <w:t>本规范适用于频率在</w:t>
      </w:r>
      <w:r>
        <w:rPr>
          <w:rFonts w:hint="eastAsia" w:ascii="宋体" w:cs="宋体"/>
        </w:rPr>
        <w:t>（</w:t>
      </w:r>
      <w:r>
        <w:rPr>
          <w:rFonts w:hint="eastAsia" w:ascii="宋体" w:hAnsi="宋体" w:cs="宋体"/>
        </w:rPr>
        <w:t>0.1～2000</w:t>
      </w:r>
      <w:r>
        <w:rPr>
          <w:rFonts w:hint="eastAsia" w:ascii="宋体" w:cs="宋体"/>
        </w:rPr>
        <w:t>）Hz</w:t>
      </w:r>
      <w:r>
        <w:rPr>
          <w:rFonts w:hint="eastAsia" w:ascii="宋体" w:hAnsi="宋体" w:cs="宋体"/>
        </w:rPr>
        <w:t>范围内的振动变送器的</w:t>
      </w:r>
      <w:r>
        <w:rPr>
          <w:rFonts w:hint="eastAsia" w:ascii="宋体" w:hAnsi="宋体"/>
          <w:bCs/>
          <w:color w:val="000000"/>
        </w:rPr>
        <w:t>校准。</w:t>
      </w:r>
    </w:p>
    <w:p>
      <w:pPr>
        <w:pStyle w:val="21"/>
        <w:adjustRightInd w:val="0"/>
        <w:spacing w:before="120" w:after="120" w:line="360" w:lineRule="auto"/>
        <w:contextualSpacing/>
        <w:jc w:val="both"/>
        <w:rPr>
          <w:sz w:val="24"/>
          <w:szCs w:val="24"/>
        </w:rPr>
      </w:pPr>
      <w:bookmarkStart w:id="21" w:name="_Toc942"/>
      <w:r>
        <w:rPr>
          <w:rFonts w:hint="eastAsia"/>
          <w:sz w:val="24"/>
          <w:szCs w:val="24"/>
        </w:rPr>
        <w:t>2</w:t>
      </w:r>
      <w:r>
        <w:rPr>
          <w:sz w:val="24"/>
          <w:szCs w:val="24"/>
        </w:rPr>
        <w:t>引用文</w:t>
      </w:r>
      <w:r>
        <w:rPr>
          <w:rFonts w:hint="eastAsia"/>
          <w:sz w:val="24"/>
          <w:szCs w:val="24"/>
        </w:rPr>
        <w:t>件</w:t>
      </w:r>
      <w:bookmarkEnd w:id="21"/>
    </w:p>
    <w:p>
      <w:pPr>
        <w:pStyle w:val="40"/>
        <w:spacing w:line="360" w:lineRule="auto"/>
        <w:ind w:left="465" w:firstLine="0" w:firstLineChars="0"/>
        <w:rPr>
          <w:rFonts w:ascii="宋体" w:cs="宋体"/>
          <w:sz w:val="24"/>
        </w:rPr>
      </w:pPr>
      <w:r>
        <w:rPr>
          <w:rFonts w:hint="eastAsia" w:ascii="宋体" w:hAnsi="宋体" w:cs="宋体"/>
          <w:sz w:val="24"/>
        </w:rPr>
        <w:t>本规程引用下列文件：</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JJG 134-2023  磁电式速度传感器</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JJG 233-2008  压电加速度计</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JJG 644       振动位移传感器</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 xml:space="preserve">JJG 676-2019  测振仪          </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JJF 1094-2002 测量仪器特性评定</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GB/T 20485.21 振动与冲击传感器校准方法 第21部分：振动比较法校准</w:t>
      </w:r>
    </w:p>
    <w:p>
      <w:pPr>
        <w:pStyle w:val="40"/>
        <w:adjustRightInd w:val="0"/>
        <w:snapToGrid w:val="0"/>
        <w:spacing w:line="360" w:lineRule="auto"/>
        <w:ind w:left="465" w:firstLine="0" w:firstLineChars="0"/>
        <w:jc w:val="left"/>
        <w:rPr>
          <w:rFonts w:ascii="宋体" w:hAnsi="宋体" w:cs="宋体"/>
          <w:sz w:val="24"/>
        </w:rPr>
      </w:pPr>
      <w:r>
        <w:rPr>
          <w:rFonts w:hint="eastAsia" w:ascii="宋体" w:hAnsi="宋体" w:cs="宋体"/>
          <w:sz w:val="24"/>
        </w:rPr>
        <w:t>凡是注日期的引用文件，仅注日期的版本适用于本规范；凡是不注日期的引用文件，</w:t>
      </w:r>
    </w:p>
    <w:p>
      <w:pPr>
        <w:adjustRightInd w:val="0"/>
        <w:snapToGrid w:val="0"/>
        <w:spacing w:line="360" w:lineRule="auto"/>
        <w:jc w:val="left"/>
        <w:rPr>
          <w:rFonts w:ascii="Arial" w:hAnsi="Arial" w:cs="Arial"/>
          <w:sz w:val="24"/>
        </w:rPr>
      </w:pPr>
      <w:r>
        <w:rPr>
          <w:rFonts w:hint="eastAsia" w:ascii="宋体" w:hAnsi="宋体" w:cs="宋体"/>
          <w:sz w:val="24"/>
        </w:rPr>
        <w:t>其最新版本（包括所有的修改单）适用于本规范。</w:t>
      </w:r>
    </w:p>
    <w:p>
      <w:pPr>
        <w:pStyle w:val="21"/>
        <w:adjustRightInd w:val="0"/>
        <w:spacing w:before="120" w:after="120" w:line="360" w:lineRule="auto"/>
        <w:contextualSpacing/>
        <w:jc w:val="both"/>
        <w:rPr>
          <w:sz w:val="24"/>
          <w:szCs w:val="24"/>
        </w:rPr>
      </w:pPr>
      <w:bookmarkStart w:id="22" w:name="_Toc12715"/>
      <w:r>
        <w:rPr>
          <w:rFonts w:hint="eastAsia"/>
          <w:sz w:val="24"/>
          <w:szCs w:val="24"/>
        </w:rPr>
        <w:t>3</w:t>
      </w:r>
      <w:r>
        <w:rPr>
          <w:sz w:val="24"/>
          <w:szCs w:val="24"/>
        </w:rPr>
        <w:t>概述</w:t>
      </w:r>
      <w:bookmarkEnd w:id="22"/>
    </w:p>
    <w:p>
      <w:pPr>
        <w:spacing w:line="360" w:lineRule="auto"/>
        <w:ind w:firstLine="480" w:firstLineChars="200"/>
        <w:rPr>
          <w:rFonts w:ascii="宋体" w:hAnsi="宋体" w:cs="宋体"/>
          <w:sz w:val="24"/>
        </w:rPr>
      </w:pPr>
      <w:r>
        <w:rPr>
          <w:rFonts w:hint="eastAsia" w:ascii="宋体" w:hAnsi="宋体" w:cs="宋体"/>
          <w:sz w:val="24"/>
        </w:rPr>
        <w:t>振动变送器是一种将机械振动参量（机械振动位移、速度、加速度等）转换成标准输出电压或电流信号的器件或装置。主要用于工业过程振动参数的测量和控制。振动变送器的</w:t>
      </w:r>
      <w:r>
        <w:rPr>
          <w:rFonts w:ascii="宋体" w:hAnsi="宋体" w:cs="宋体"/>
          <w:sz w:val="24"/>
        </w:rPr>
        <w:t>输出信号主要为</w:t>
      </w:r>
      <w:r>
        <w:rPr>
          <w:rFonts w:hint="eastAsia"/>
        </w:rPr>
        <w:t>（</w:t>
      </w:r>
      <w:r>
        <w:t>0 ~10</w:t>
      </w:r>
      <w:r>
        <w:rPr>
          <w:rFonts w:hint="eastAsia"/>
        </w:rPr>
        <w:t>）</w:t>
      </w:r>
      <w:r>
        <w:t>mA</w:t>
      </w:r>
      <w:r>
        <w:rPr>
          <w:rFonts w:hint="eastAsia"/>
        </w:rPr>
        <w:t>、（</w:t>
      </w:r>
      <w:r>
        <w:t>4 ~20</w:t>
      </w:r>
      <w:r>
        <w:rPr>
          <w:rFonts w:hint="eastAsia"/>
        </w:rPr>
        <w:t>）</w:t>
      </w:r>
      <w:r>
        <w:t xml:space="preserve"> mA</w:t>
      </w:r>
      <w:r>
        <w:rPr>
          <w:rFonts w:hint="eastAsia"/>
        </w:rPr>
        <w:t>或（</w:t>
      </w:r>
      <w:r>
        <w:t>0~5</w:t>
      </w:r>
      <w:r>
        <w:rPr>
          <w:rFonts w:hint="eastAsia"/>
        </w:rPr>
        <w:t>）</w:t>
      </w:r>
      <w:r>
        <w:t>V</w:t>
      </w:r>
      <w:r>
        <w:rPr>
          <w:rFonts w:hint="eastAsia"/>
        </w:rPr>
        <w:t>、（</w:t>
      </w:r>
      <w:r>
        <w:t>0~10</w:t>
      </w:r>
      <w:r>
        <w:rPr>
          <w:rFonts w:hint="eastAsia"/>
        </w:rPr>
        <w:t>）</w:t>
      </w:r>
      <w:r>
        <w:t>V</w:t>
      </w:r>
      <w:r>
        <w:rPr>
          <w:rFonts w:hint="eastAsia"/>
        </w:rPr>
        <w:t>等</w:t>
      </w:r>
      <w:r>
        <w:rPr>
          <w:rFonts w:ascii="宋体" w:hAnsi="宋体" w:cs="宋体"/>
          <w:sz w:val="24"/>
        </w:rPr>
        <w:t>直流电信号</w:t>
      </w:r>
      <w:r>
        <w:rPr>
          <w:rFonts w:hint="eastAsia" w:ascii="宋体" w:hAnsi="宋体" w:cs="宋体"/>
          <w:sz w:val="24"/>
        </w:rPr>
        <w:t>，且输出信号与机械振动参量之间有对应的函数关系（通常为线性函数）。</w:t>
      </w:r>
    </w:p>
    <w:p>
      <w:pPr>
        <w:spacing w:line="360" w:lineRule="auto"/>
        <w:ind w:firstLine="480" w:firstLineChars="200"/>
        <w:rPr>
          <w:rFonts w:ascii="宋体" w:hAnsi="宋体" w:cs="宋体"/>
          <w:sz w:val="24"/>
        </w:rPr>
      </w:pPr>
      <w:r>
        <w:rPr>
          <w:rFonts w:hint="eastAsia" w:ascii="宋体" w:hAnsi="宋体" w:cs="宋体"/>
          <w:sz w:val="24"/>
        </w:rPr>
        <w:t>振动</w:t>
      </w:r>
      <w:r>
        <w:rPr>
          <w:rFonts w:ascii="宋体" w:hAnsi="宋体" w:cs="宋体"/>
          <w:sz w:val="24"/>
        </w:rPr>
        <w:t>变送器通常由两部</w:t>
      </w:r>
      <w:r>
        <w:rPr>
          <w:rFonts w:hint="eastAsia" w:ascii="宋体" w:hAnsi="宋体" w:cs="宋体"/>
          <w:sz w:val="24"/>
        </w:rPr>
        <w:t>分</w:t>
      </w:r>
      <w:r>
        <w:rPr>
          <w:rFonts w:ascii="宋体" w:hAnsi="宋体" w:cs="宋体"/>
          <w:sz w:val="24"/>
        </w:rPr>
        <w:t>组成：</w:t>
      </w:r>
      <w:r>
        <w:rPr>
          <w:rFonts w:hint="eastAsia" w:ascii="宋体" w:hAnsi="宋体" w:cs="宋体"/>
          <w:sz w:val="24"/>
        </w:rPr>
        <w:t>振动</w:t>
      </w:r>
      <w:r>
        <w:rPr>
          <w:rFonts w:ascii="宋体" w:hAnsi="宋体" w:cs="宋体"/>
          <w:sz w:val="24"/>
        </w:rPr>
        <w:t>传感器和信号</w:t>
      </w:r>
      <w:r>
        <w:rPr>
          <w:rFonts w:hint="eastAsia" w:ascii="宋体" w:hAnsi="宋体" w:cs="宋体"/>
          <w:sz w:val="24"/>
        </w:rPr>
        <w:t>调理单元</w:t>
      </w:r>
      <w:r>
        <w:rPr>
          <w:rFonts w:ascii="宋体" w:hAnsi="宋体" w:cs="宋体"/>
          <w:sz w:val="24"/>
        </w:rPr>
        <w:t>。</w:t>
      </w:r>
      <w:r>
        <w:rPr>
          <w:rFonts w:hint="eastAsia" w:ascii="宋体" w:hAnsi="宋体" w:cs="宋体"/>
          <w:sz w:val="24"/>
        </w:rPr>
        <w:t>振动</w:t>
      </w:r>
      <w:r>
        <w:rPr>
          <w:rFonts w:ascii="宋体" w:hAnsi="宋体" w:cs="宋体"/>
          <w:sz w:val="24"/>
        </w:rPr>
        <w:t>传感器主要是振动</w:t>
      </w:r>
      <w:r>
        <w:rPr>
          <w:rFonts w:hint="eastAsia" w:ascii="宋体" w:hAnsi="宋体" w:cs="宋体"/>
          <w:sz w:val="24"/>
        </w:rPr>
        <w:t>敏感</w:t>
      </w:r>
      <w:r>
        <w:rPr>
          <w:rFonts w:ascii="宋体" w:hAnsi="宋体" w:cs="宋体"/>
          <w:sz w:val="24"/>
        </w:rPr>
        <w:t>单元；</w:t>
      </w:r>
      <w:r>
        <w:rPr>
          <w:rFonts w:hint="eastAsia" w:ascii="宋体" w:hAnsi="宋体" w:cs="宋体"/>
          <w:sz w:val="24"/>
        </w:rPr>
        <w:t>信号调理单元</w:t>
      </w:r>
      <w:r>
        <w:rPr>
          <w:rFonts w:ascii="宋体" w:hAnsi="宋体" w:cs="宋体"/>
          <w:sz w:val="24"/>
        </w:rPr>
        <w:t>主要由测量单元、信号处理和转换单元组成，有些</w:t>
      </w:r>
      <w:r>
        <w:rPr>
          <w:rFonts w:hint="eastAsia" w:ascii="宋体" w:hAnsi="宋体" w:cs="宋体"/>
          <w:sz w:val="24"/>
        </w:rPr>
        <w:t>振动</w:t>
      </w:r>
      <w:r>
        <w:rPr>
          <w:rFonts w:ascii="宋体" w:hAnsi="宋体" w:cs="宋体"/>
          <w:sz w:val="24"/>
        </w:rPr>
        <w:t>变送器</w:t>
      </w:r>
      <w:r>
        <w:rPr>
          <w:rFonts w:hint="eastAsia" w:ascii="宋体" w:hAnsi="宋体" w:cs="宋体"/>
          <w:sz w:val="24"/>
        </w:rPr>
        <w:t>具备</w:t>
      </w:r>
      <w:r>
        <w:rPr>
          <w:rFonts w:ascii="宋体" w:hAnsi="宋体" w:cs="宋体"/>
          <w:sz w:val="24"/>
        </w:rPr>
        <w:t>显示单元</w:t>
      </w:r>
      <w:r>
        <w:rPr>
          <w:rFonts w:hint="eastAsia" w:ascii="宋体" w:hAnsi="宋体" w:cs="宋体"/>
          <w:sz w:val="24"/>
        </w:rPr>
        <w:t>。振动变送器原理框图如图1所示。振动变送器按结构可分为一体化式和传感器加变送模块的分体式；按工作原理可分为压电式、磁电式、电感式等。</w:t>
      </w:r>
    </w:p>
    <w:p>
      <w:pPr>
        <w:pStyle w:val="8"/>
        <w:adjustRightInd w:val="0"/>
        <w:snapToGrid w:val="0"/>
        <w:spacing w:line="360" w:lineRule="auto"/>
        <w:ind w:firstLine="0" w:firstLineChars="0"/>
        <w:jc w:val="center"/>
        <w:rPr>
          <w:rFonts w:ascii="宋体" w:hAnsi="宋体" w:eastAsia="宋体" w:cs="Arial"/>
        </w:rPr>
      </w:pPr>
      <w:r>
        <w:pict>
          <v:group id="画布 1047" o:spid="_x0000_s1027" o:spt="203" style="height:88.15pt;width:338.3pt;" coordsize="42964,11195" editas="canvas">
            <o:lock v:ext="edit"/>
            <v:shape id="画布 1047" o:spid="_x0000_s1028" o:spt="75" type="#_x0000_t75" style="position:absolute;left:0;top:0;height:11195;width:42964;" filled="f" o:preferrelative="t" stroked="f" coordsize="21600,21600">
              <v:path/>
              <v:fill on="f" focussize="0,0"/>
              <v:stroke on="f" joinstyle="miter"/>
              <v:imagedata o:title=""/>
              <o:lock v:ext="edit" aspectratio="t"/>
            </v:shape>
            <v:rect id="Rectangle 1049" o:spid="_x0000_s1029" o:spt="1" style="position:absolute;left:1473;top:5080;height:3676;width:5238;" fillcolor="#000000" filled="f"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y3l8QA&#10;AADaAAAADwAAAGRycy9kb3ducmV2LnhtbESPQWsCMRSE70L/Q3iFXkSzreDq1ihFED2IoBW8PjfP&#10;3aWblzWJuvrrm4LQ4zAz3zCTWWtqcSXnK8sK3vsJCOLc6ooLBfvvRW8EwgdkjbVlUnAnD7PpS2eC&#10;mbY33tJ1FwoRIewzVFCG0GRS+rwkg75vG+LonawzGKJ0hdQObxFuavmRJENpsOK4UGJD85Lyn93F&#10;KNicE7e5PEz3sF6mg9M9uPl4fVTq7bX9+gQRqA3/4Wd7pRWk8Hcl3g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t5fEAAAA2gAAAA8AAAAAAAAAAAAAAAAAmAIAAGRycy9k&#10;b3ducmV2LnhtbFBLBQYAAAAABAAEAPUAAACJAwAAAAA=&#10;">
              <v:path/>
              <v:fill on="f" focussize="0,0"/>
              <v:stroke weight="1pt" color="#FFFFFF"/>
              <v:imagedata o:title=""/>
              <o:lock v:ext="edit"/>
              <v:textbox inset="0mm,1mm,0mm,0mm">
                <w:txbxContent>
                  <w:p>
                    <w:pPr>
                      <w:autoSpaceDE w:val="0"/>
                      <w:autoSpaceDN w:val="0"/>
                      <w:adjustRightInd w:val="0"/>
                      <w:spacing w:before="124" w:beforeLines="40"/>
                      <w:rPr>
                        <w:iCs/>
                        <w:color w:val="000000"/>
                        <w:sz w:val="18"/>
                        <w:szCs w:val="18"/>
                      </w:rPr>
                    </w:pPr>
                    <w:r>
                      <w:rPr>
                        <w:rFonts w:hint="eastAsia"/>
                        <w:iCs/>
                        <w:color w:val="000000"/>
                        <w:sz w:val="18"/>
                        <w:szCs w:val="18"/>
                      </w:rPr>
                      <w:t>振动信号</w:t>
                    </w:r>
                  </w:p>
                </w:txbxContent>
              </v:textbox>
            </v:rect>
            <v:line id="Line 1050" o:spid="_x0000_s1030" o:spt="20" style="position:absolute;left:1473;top:8077;height:6;width:7055;"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bAK7oAAADaAAAADwAAAGRycy9kb3ducmV2LnhtbERPSwrCMBDdC94hjOBOU0VUqlFEUFyJ&#10;P1wPzZgWm0lpYq23NwvB5eP9l+vWlqKh2heOFYyGCQjizOmCjYLbdTeYg/ABWWPpmBR8yMN61e0s&#10;MdXuzWdqLsGIGMI+RQV5CFUqpc9ysuiHriKO3MPVFkOEtZG6xncMt6UcJ8lUWiw4NuRY0Tan7Hl5&#10;WQUnP/XZ0x1nZnSd3dtJsy8N7ZXq99rNAkSgNvzFP/dBK4hb45V4A+TqC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OwGwCu6AAAA2gAAAA8AAAAAAAAAAAAAAAAAoQIAAGRy&#10;cy9kb3ducmV2LnhtbFBLBQYAAAAABAAEAPkAAACIAwAAAAA=&#10;">
              <v:path arrowok="t"/>
              <v:fill focussize="0,0"/>
              <v:stroke weight="1pt" dashstyle="dashDot" endarrow="block"/>
              <v:imagedata o:title=""/>
              <o:lock v:ext="edit"/>
            </v:line>
            <v:rect id="Rectangle 1051" o:spid="_x0000_s1031" o:spt="1" style="position:absolute;left:8432;top:6254;height:3518;width:8103;" fillcolor="#000000"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DzOsIA&#10;AADaAAAADwAAAGRycy9kb3ducmV2LnhtbESPwWrDMBBE74X8g9hAb7XcHELrWg6hJNDcErsUelus&#10;jS1srYylOvbfV4FCj8PMvGHy3Wx7MdHojWMFz0kKgrh22nCj4LM6Pr2A8AFZY++YFCzkYVesHnLM&#10;tLvxhaYyNCJC2GeooA1hyKT0dUsWfeIG4uhd3WgxRDk2Uo94i3Dby02abqVFw3GhxYHeW6q78scq&#10;OFT0fVwW022H89c0mcvJzP1Jqcf1vH8DEWgO/+G/9odW8Ar3K/EG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PM6wgAAANoAAAAPAAAAAAAAAAAAAAAAAJgCAABkcnMvZG93&#10;bnJldi54bWxQSwUGAAAAAAQABAD1AAAAhwMAAAAA&#10;">
              <v:path/>
              <v:fill on="f" focussize="0,0"/>
              <v:stroke weight="1pt"/>
              <v:imagedata o:title=""/>
              <o:lock v:ext="edit"/>
              <v:textbox inset="0mm,1mm,0mm,0mm">
                <w:txbxContent>
                  <w:p>
                    <w:pPr>
                      <w:autoSpaceDE w:val="0"/>
                      <w:autoSpaceDN w:val="0"/>
                      <w:adjustRightInd w:val="0"/>
                      <w:snapToGrid w:val="0"/>
                      <w:spacing w:before="93" w:beforeLines="30"/>
                      <w:jc w:val="center"/>
                      <w:textAlignment w:val="center"/>
                      <w:rPr>
                        <w:iCs/>
                        <w:color w:val="000000"/>
                        <w:sz w:val="18"/>
                        <w:szCs w:val="18"/>
                      </w:rPr>
                    </w:pPr>
                    <w:r>
                      <w:rPr>
                        <w:rFonts w:hint="eastAsia"/>
                        <w:iCs/>
                        <w:color w:val="000000"/>
                        <w:sz w:val="18"/>
                        <w:szCs w:val="18"/>
                      </w:rPr>
                      <w:t>振动传感器</w:t>
                    </w:r>
                  </w:p>
                </w:txbxContent>
              </v:textbox>
            </v:rect>
            <v:line id="Line 1052" o:spid="_x0000_s1032" o:spt="20" style="position:absolute;left:16567;top:8064;height:6;width:4934;"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NccMAAADbAAAADwAAAGRycy9kb3ducmV2LnhtbESPT4vCQAzF74LfYYjgTad6cKXrKCIo&#10;6mFh/YPsLXSybdlOpnTGWr+9OSx4S3gv7/2yWHWuUi01ofRsYDJOQBFn3pacG7ict6M5qBCRLVae&#10;ycCTAqyW/d4CU+sf/E3tKeZKQjikaKCIsU61DllBDsPY18Si/frGYZS1ybVt8CHhrtLTJJlphyVL&#10;Q4E1bQrK/k53ZyBrQ+s+preD3tJ51/18+esx98YMB936E1SkLr7N/9d7K/hCL7/IAHr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jjXHDAAAA2wAAAA8AAAAAAAAAAAAA&#10;AAAAoQIAAGRycy9kb3ducmV2LnhtbFBLBQYAAAAABAAEAPkAAACRAwAAAAA=&#10;">
              <v:path arrowok="t"/>
              <v:fill focussize="0,0"/>
              <v:stroke weight="1pt" endarrow="block"/>
              <v:imagedata o:title=""/>
              <o:lock v:ext="edit"/>
            </v:line>
            <v:rect id="Rectangle 1053" o:spid="_x0000_s1033" o:spt="1" style="position:absolute;left:21672;top:5797;height:4572;width:9055;" fillcolor="#000000"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yu1cEA&#10;AADbAAAADwAAAGRycy9kb3ducmV2LnhtbERPyWrDMBC9F/oPYgK51bJ7CMG1HEKIobllKYXeBmtq&#10;i1gjY6mO/fdRINDbPN46xWaynRhp8MaxgixJQRDXThtuFHxdqrc1CB+QNXaOScFMHjbl60uBuXY3&#10;PtF4Do2IIexzVNCG0OdS+roliz5xPXHkft1gMUQ4NFIPeIvhtpPvabqSFg3HhhZ72rVUX89/VsH+&#10;Qj/VPJvrqj9+j6M5HczUHZRaLqbtB4hAU/gXP92fOs7P4PFLPE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crtXBAAAA2wAAAA8AAAAAAAAAAAAAAAAAmAIAAGRycy9kb3du&#10;cmV2LnhtbFBLBQYAAAAABAAEAPUAAACGAwAAAAA=&#10;">
              <v:path/>
              <v:fill on="f" focussize="0,0"/>
              <v:stroke weight="1pt"/>
              <v:imagedata o:title=""/>
              <o:lock v:ext="edit"/>
              <v:textbox inset="0mm,1mm,0mm,0mm">
                <w:txbxContent>
                  <w:p>
                    <w:pPr>
                      <w:autoSpaceDE w:val="0"/>
                      <w:autoSpaceDN w:val="0"/>
                      <w:adjustRightInd w:val="0"/>
                      <w:snapToGrid w:val="0"/>
                      <w:spacing w:line="216" w:lineRule="auto"/>
                      <w:jc w:val="center"/>
                      <w:textAlignment w:val="center"/>
                      <w:rPr>
                        <w:iCs/>
                        <w:color w:val="000000"/>
                        <w:sz w:val="18"/>
                        <w:szCs w:val="18"/>
                      </w:rPr>
                    </w:pPr>
                  </w:p>
                  <w:p>
                    <w:pPr>
                      <w:autoSpaceDE w:val="0"/>
                      <w:autoSpaceDN w:val="0"/>
                      <w:adjustRightInd w:val="0"/>
                      <w:snapToGrid w:val="0"/>
                      <w:spacing w:line="216" w:lineRule="auto"/>
                      <w:jc w:val="center"/>
                      <w:textAlignment w:val="center"/>
                      <w:rPr>
                        <w:iCs/>
                        <w:color w:val="000000"/>
                        <w:sz w:val="18"/>
                        <w:szCs w:val="18"/>
                      </w:rPr>
                    </w:pPr>
                    <w:r>
                      <w:rPr>
                        <w:rFonts w:hint="eastAsia"/>
                        <w:iCs/>
                        <w:color w:val="000000"/>
                        <w:sz w:val="18"/>
                        <w:szCs w:val="18"/>
                      </w:rPr>
                      <w:t>信号调理单元</w:t>
                    </w:r>
                  </w:p>
                </w:txbxContent>
              </v:textbox>
            </v:rect>
            <v:line id="Line 1054" o:spid="_x0000_s1034" o:spt="20" style="position:absolute;left:26238;top:3943;flip:y;height:1930;width: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168EAAADbAAAADwAAAGRycy9kb3ducmV2LnhtbERPS2uDQBC+B/oflinkEpK1OUgwboJ5&#10;SL2aFrwO7kQl7qy422j/fbdQ6G0+vuekx9n04kmj6ywreNtEIIhrqztuFHx+5OsdCOeRNfaWScE3&#10;OTgeXhYpJtpOXNLz5hsRQtglqKD1fkikdHVLBt3GDsSBu9vRoA9wbKQecQrhppfbKIqlwY5DQ4sD&#10;nVuqH7cvo6CMfGamXXnJ5uq9iPPVKb9WJ6WWr3O2B+Fp9v/iP3ehw/wt/P4SDp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83XrwQAAANsAAAAPAAAAAAAAAAAAAAAA&#10;AKECAABkcnMvZG93bnJldi54bWxQSwUGAAAAAAQABAD5AAAAjwMAAAAA&#10;">
              <v:path arrowok="t"/>
              <v:fill focussize="0,0"/>
              <v:stroke weight="1pt" dashstyle="dash" endarrow="block"/>
              <v:imagedata o:title=""/>
              <o:lock v:ext="edit"/>
            </v:line>
            <v:rect id="Rectangle 1055" o:spid="_x0000_s1035" o:spt="1" style="position:absolute;left:21672;top:533;height:3442;width:9055;" fillcolor="#000000"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L7v7sA&#10;AADbAAAADwAAAGRycy9kb3ducmV2LnhtbERPSwrCMBDdC94hjOBOUxVEqlFEEdz6wfW0GdtqM6lN&#10;rPX2RhDczeN9Z7FqTSkaql1hWcFoGIEgTq0uOFNwPu0GMxDOI2ssLZOCNzlYLbudBcbavvhAzdFn&#10;IoSwi1FB7n0VS+nSnAy6oa2IA3e1tUEfYJ1JXeMrhJtSjqNoKg0WHBpyrGiTU3o/Po0Cvb7txhc9&#10;qehRtnp7oaTZvBOl+r12PQfhqfV/8c+912H+BL6/hAPk8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uy+7+7AAAA2wAAAA8AAAAAAAAAAAAAAAAAmAIAAGRycy9kb3ducmV2Lnht&#10;bFBLBQYAAAAABAAEAPUAAACAAwAAAAA=&#10;">
              <v:path/>
              <v:fill on="f" focussize="0,0"/>
              <v:stroke weight="1pt" dashstyle="dash"/>
              <v:imagedata o:title=""/>
              <o:lock v:ext="edit"/>
              <v:textbox inset="0mm,1mm,0mm,0mm">
                <w:txbxContent>
                  <w:p>
                    <w:pPr>
                      <w:autoSpaceDE w:val="0"/>
                      <w:autoSpaceDN w:val="0"/>
                      <w:adjustRightInd w:val="0"/>
                      <w:snapToGrid w:val="0"/>
                      <w:spacing w:before="93" w:beforeLines="30"/>
                      <w:jc w:val="center"/>
                      <w:textAlignment w:val="center"/>
                      <w:rPr>
                        <w:iCs/>
                        <w:color w:val="000000"/>
                        <w:sz w:val="18"/>
                        <w:szCs w:val="18"/>
                      </w:rPr>
                    </w:pPr>
                    <w:r>
                      <w:rPr>
                        <w:rFonts w:hint="eastAsia"/>
                        <w:iCs/>
                        <w:color w:val="000000"/>
                        <w:sz w:val="18"/>
                        <w:szCs w:val="18"/>
                      </w:rPr>
                      <w:t>显示单元</w:t>
                    </w:r>
                  </w:p>
                </w:txbxContent>
              </v:textbox>
            </v:rect>
            <v:rect id="Rectangle 1056" o:spid="_x0000_s1036" o:spt="1" style="position:absolute;left:32137;top:6775;height:2908;width:10185;" fillcolor="#000000" filled="f"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iSScMA&#10;AADbAAAADwAAAGRycy9kb3ducmV2LnhtbERPS2sCMRC+F/ofwhS8FM1ai23XjVIE0YMIWqHX6Wb2&#10;gZvJmkRd/fWNUOhtPr7nZLPONOJMzteWFQwHCQji3OqaSwX7r0X/HYQPyBoby6TgSh5m08eHDFNt&#10;L7yl8y6UIoawT1FBFUKbSunzigz6gW2JI1dYZzBE6EqpHV5iuGnkS5KMpcGaY0OFLc0ryg+7k1Gw&#10;OSZuc7qZ5+/18m1UXIObf6x/lOo9dZ8TEIG68C/+c690nP8K91/iAXL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iSScMAAADbAAAADwAAAAAAAAAAAAAAAACYAgAAZHJzL2Rv&#10;d25yZXYueG1sUEsFBgAAAAAEAAQA9QAAAIgDAAAAAA==&#10;">
              <v:path/>
              <v:fill on="f" focussize="0,0"/>
              <v:stroke weight="1pt" color="#FFFFFF"/>
              <v:imagedata o:title=""/>
              <o:lock v:ext="edit"/>
              <v:textbox inset="0mm,1mm,0mm,0mm">
                <w:txbxContent>
                  <w:p>
                    <w:pPr>
                      <w:autoSpaceDE w:val="0"/>
                      <w:autoSpaceDN w:val="0"/>
                      <w:adjustRightInd w:val="0"/>
                      <w:spacing w:before="124" w:beforeLines="40"/>
                      <w:rPr>
                        <w:iCs/>
                        <w:color w:val="000000"/>
                        <w:sz w:val="18"/>
                        <w:szCs w:val="18"/>
                      </w:rPr>
                    </w:pPr>
                    <w:r>
                      <w:rPr>
                        <w:rFonts w:hint="eastAsia"/>
                        <w:iCs/>
                        <w:color w:val="000000"/>
                        <w:sz w:val="18"/>
                        <w:szCs w:val="18"/>
                      </w:rPr>
                      <w:t>输出信号（mA、V）</w:t>
                    </w:r>
                  </w:p>
                </w:txbxContent>
              </v:textbox>
            </v:rect>
            <v:line id="Line 1057" o:spid="_x0000_s1037" o:spt="20" style="position:absolute;left:30651;top:9658;height:6;width:7055;"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Qu6cEAAADbAAAADwAAAGRycy9kb3ducmV2LnhtbERPS4vCMBC+C/6HMMLeNLWwrlRjEUFR&#10;DwvrA/E2NGNbbCalibX++83Cgrf5+J4zTztTiZYaV1pWMB5FIIgzq0vOFZyO6+EUhPPIGivLpOBF&#10;DtJFvzfHRNsn/1B78LkIIewSVFB4XydSuqwgg25ka+LA3Wxj0AfY5FI3+AzhppJxFE2kwZJDQ4E1&#10;rQrK7oeHUZC1rjVf8WUn13TcdNdve97nVqmPQbecgfDU+bf4373VYf4n/P0SDp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FC7pwQAAANsAAAAPAAAAAAAAAAAAAAAA&#10;AKECAABkcnMvZG93bnJldi54bWxQSwUGAAAAAAQABAD5AAAAjwMAAAAA&#10;">
              <v:path arrowok="t"/>
              <v:fill focussize="0,0"/>
              <v:stroke weight="1pt" endarrow="block"/>
              <v:imagedata o:title=""/>
              <o:lock v:ext="edit"/>
            </v:line>
            <v:line id="Line 1058" o:spid="_x0000_s1038" o:spt="20" style="position:absolute;left:30727;top:7067;height:6;width:7055;"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9HKMIAAADbAAAADwAAAGRycy9kb3ducmV2LnhtbERPTWsCMRC9F/ofwhR6Ec26gpXVKEWo&#10;FCpIVdDjsBk3i5vJsoka/30jCL3N433ObBFtI67U+dqxguEgA0FcOl1zpWC/++pPQPiArLFxTAru&#10;5GExf32ZYaHdjX/pug2VSCHsC1RgQmgLKX1pyKIfuJY4cSfXWQwJdpXUHd5SuG1knmVjabHm1GCw&#10;paWh8ry9WAXraPLVz8dodLjHfZkvcTM89jZKvb/FzymIQDH8i5/ub53mj+HxSzp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9HKMIAAADbAAAADwAAAAAAAAAAAAAA&#10;AAChAgAAZHJzL2Rvd25yZXYueG1sUEsFBgAAAAAEAAQA+QAAAJADAAAAAA==&#10;">
              <v:path arrowok="t"/>
              <v:fill focussize="0,0"/>
              <v:stroke weight="1pt" dashstyle="dash" startarrow="block" endarrow="block"/>
              <v:imagedata o:title=""/>
              <o:lock v:ext="edit"/>
            </v:line>
            <v:rect id="Rectangle 1059" o:spid="_x0000_s1039" o:spt="1" style="position:absolute;left:31997;top:4083;height:2908;width:5633;" fillcolor="#000000" filled="f"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MPsMA&#10;AADbAAAADwAAAGRycy9kb3ducmV2LnhtbERPTWsCMRC9C/0PYQq9iGZbwdWtUYogehBBK3gdN+Pu&#10;0s1kTaKu/vqmIPQ2j/c5k1lranEl5yvLCt77CQji3OqKCwX770VvBMIHZI21ZVJwJw+z6Utngpm2&#10;N97SdRcKEUPYZ6igDKHJpPR5SQZ93zbEkTtZZzBE6AqpHd5iuKnlR5IMpcGKY0OJDc1Lyn92F6Ng&#10;c07c5vIw3cN6mQ5O9+Dm4/VRqbfX9usTRKA2/Iuf7pWO81P4+yUeIK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oMPsMAAADbAAAADwAAAAAAAAAAAAAAAACYAgAAZHJzL2Rv&#10;d25yZXYueG1sUEsFBgAAAAAEAAQA9QAAAIgDAAAAAA==&#10;">
              <v:path/>
              <v:fill on="f" focussize="0,0"/>
              <v:stroke weight="1pt" color="#FFFFFF"/>
              <v:imagedata o:title=""/>
              <o:lock v:ext="edit"/>
              <v:textbox inset="0mm,1mm,0mm,0mm">
                <w:txbxContent>
                  <w:p>
                    <w:pPr>
                      <w:autoSpaceDE w:val="0"/>
                      <w:autoSpaceDN w:val="0"/>
                      <w:adjustRightInd w:val="0"/>
                      <w:spacing w:before="124" w:beforeLines="40"/>
                      <w:rPr>
                        <w:iCs/>
                        <w:color w:val="000000"/>
                        <w:sz w:val="18"/>
                        <w:szCs w:val="18"/>
                      </w:rPr>
                    </w:pPr>
                    <w:r>
                      <w:rPr>
                        <w:rFonts w:hint="eastAsia"/>
                        <w:iCs/>
                        <w:color w:val="000000"/>
                        <w:sz w:val="18"/>
                        <w:szCs w:val="18"/>
                      </w:rPr>
                      <w:t>现场总线</w:t>
                    </w:r>
                  </w:p>
                </w:txbxContent>
              </v:textbox>
            </v:rect>
            <w10:wrap type="none"/>
            <w10:anchorlock/>
          </v:group>
        </w:pict>
      </w:r>
    </w:p>
    <w:p>
      <w:pPr>
        <w:spacing w:line="360" w:lineRule="auto"/>
        <w:jc w:val="center"/>
        <w:rPr>
          <w:rFonts w:ascii="宋体" w:cs="宋体"/>
          <w:szCs w:val="21"/>
        </w:rPr>
      </w:pPr>
      <w:r>
        <w:rPr>
          <w:rFonts w:hint="eastAsia" w:ascii="宋体" w:cs="宋体"/>
          <w:szCs w:val="21"/>
        </w:rPr>
        <w:t>图1　振动变送器原理框图</w:t>
      </w:r>
    </w:p>
    <w:p>
      <w:pPr>
        <w:pStyle w:val="21"/>
        <w:adjustRightInd w:val="0"/>
        <w:spacing w:before="120" w:after="120" w:line="360" w:lineRule="auto"/>
        <w:contextualSpacing/>
        <w:jc w:val="both"/>
        <w:rPr>
          <w:sz w:val="24"/>
          <w:szCs w:val="24"/>
        </w:rPr>
      </w:pPr>
      <w:bookmarkStart w:id="23" w:name="_Toc29834"/>
      <w:r>
        <w:rPr>
          <w:rFonts w:hint="eastAsia"/>
          <w:sz w:val="24"/>
          <w:szCs w:val="24"/>
        </w:rPr>
        <w:t>4</w:t>
      </w:r>
      <w:r>
        <w:rPr>
          <w:sz w:val="24"/>
          <w:szCs w:val="24"/>
        </w:rPr>
        <w:t>计量</w:t>
      </w:r>
      <w:r>
        <w:rPr>
          <w:rFonts w:hint="eastAsia"/>
          <w:sz w:val="24"/>
          <w:szCs w:val="24"/>
        </w:rPr>
        <w:t>特性</w:t>
      </w:r>
      <w:bookmarkEnd w:id="23"/>
    </w:p>
    <w:p>
      <w:pPr>
        <w:pStyle w:val="21"/>
        <w:adjustRightInd w:val="0"/>
        <w:spacing w:before="120" w:after="120" w:line="360" w:lineRule="auto"/>
        <w:contextualSpacing/>
        <w:jc w:val="both"/>
        <w:rPr>
          <w:b w:val="0"/>
          <w:sz w:val="24"/>
          <w:szCs w:val="24"/>
        </w:rPr>
      </w:pPr>
      <w:bookmarkStart w:id="24" w:name="_Toc512546680"/>
      <w:bookmarkStart w:id="25" w:name="_Toc11546"/>
      <w:r>
        <w:rPr>
          <w:rFonts w:hint="eastAsia"/>
          <w:b w:val="0"/>
          <w:sz w:val="24"/>
          <w:szCs w:val="24"/>
        </w:rPr>
        <w:t>4.1</w:t>
      </w:r>
      <w:bookmarkEnd w:id="24"/>
      <w:r>
        <w:rPr>
          <w:rFonts w:hint="eastAsia"/>
          <w:b w:val="0"/>
          <w:sz w:val="24"/>
          <w:szCs w:val="24"/>
        </w:rPr>
        <w:t>频率响应</w:t>
      </w:r>
      <w:bookmarkEnd w:id="25"/>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在不同频率下，振动</w:t>
      </w:r>
      <w:r>
        <w:rPr>
          <w:rFonts w:cs="宋体" w:asciiTheme="minorEastAsia" w:hAnsiTheme="minorEastAsia" w:eastAsiaTheme="minorEastAsia"/>
          <w:sz w:val="24"/>
        </w:rPr>
        <w:t>变送器的</w:t>
      </w:r>
      <w:r>
        <w:rPr>
          <w:rFonts w:hint="eastAsia" w:cs="宋体" w:asciiTheme="minorEastAsia" w:hAnsiTheme="minorEastAsia" w:eastAsiaTheme="minorEastAsia"/>
          <w:sz w:val="24"/>
        </w:rPr>
        <w:t>幅值测量示值相对于参考点的幅值测量示值的相对误差，称为幅值频率响应，本规范简称为频率响应。</w:t>
      </w:r>
    </w:p>
    <w:p>
      <w:pPr>
        <w:pStyle w:val="21"/>
        <w:adjustRightInd w:val="0"/>
        <w:spacing w:before="120" w:after="120" w:line="360" w:lineRule="auto"/>
        <w:contextualSpacing/>
        <w:jc w:val="both"/>
        <w:rPr>
          <w:b w:val="0"/>
          <w:sz w:val="24"/>
          <w:szCs w:val="24"/>
        </w:rPr>
      </w:pPr>
      <w:bookmarkStart w:id="26" w:name="_Toc2257"/>
      <w:r>
        <w:rPr>
          <w:rFonts w:hint="eastAsia"/>
          <w:b w:val="0"/>
          <w:sz w:val="24"/>
          <w:szCs w:val="24"/>
        </w:rPr>
        <w:t>4.2幅值线性度</w:t>
      </w:r>
      <w:bookmarkEnd w:id="26"/>
    </w:p>
    <w:p>
      <w:r>
        <w:rPr>
          <w:rFonts w:hint="eastAsia"/>
        </w:rPr>
        <w:t xml:space="preserve">    </w:t>
      </w:r>
      <w:r>
        <w:rPr>
          <w:rFonts w:hint="eastAsia" w:cs="宋体" w:asciiTheme="minorEastAsia" w:hAnsiTheme="minorEastAsia" w:eastAsiaTheme="minorEastAsia"/>
          <w:sz w:val="24"/>
        </w:rPr>
        <w:t>振动变送器主要技术要求如表1。</w:t>
      </w:r>
    </w:p>
    <w:p>
      <w:pPr>
        <w:pStyle w:val="8"/>
        <w:adjustRightInd w:val="0"/>
        <w:snapToGrid w:val="0"/>
        <w:spacing w:before="240" w:line="360" w:lineRule="auto"/>
        <w:ind w:firstLine="0" w:firstLineChars="0"/>
        <w:jc w:val="center"/>
        <w:rPr>
          <w:rFonts w:ascii="Arial" w:hAnsi="Arial" w:cs="Arial"/>
          <w:sz w:val="21"/>
          <w:szCs w:val="21"/>
        </w:rPr>
      </w:pPr>
      <w:r>
        <w:rPr>
          <w:rFonts w:hint="eastAsia" w:ascii="Arial" w:hAnsi="Arial" w:cs="Arial"/>
          <w:sz w:val="21"/>
          <w:szCs w:val="21"/>
        </w:rPr>
        <w:t>表1   振动变送器主要技术要求</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4"/>
        <w:gridCol w:w="1985"/>
        <w:gridCol w:w="2268"/>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224" w:type="dxa"/>
            <w:vAlign w:val="center"/>
          </w:tcPr>
          <w:p>
            <w:pPr>
              <w:spacing w:line="400" w:lineRule="exact"/>
              <w:ind w:left="-105" w:leftChars="-50" w:right="-105" w:rightChars="-50" w:firstLine="105" w:firstLineChars="50"/>
              <w:jc w:val="center"/>
              <w:rPr>
                <w:szCs w:val="21"/>
              </w:rPr>
            </w:pPr>
            <w:r>
              <w:rPr>
                <w:rFonts w:hint="eastAsia"/>
                <w:szCs w:val="21"/>
              </w:rPr>
              <w:t>传感器工作原理</w:t>
            </w:r>
          </w:p>
        </w:tc>
        <w:tc>
          <w:tcPr>
            <w:tcW w:w="1985" w:type="dxa"/>
            <w:vAlign w:val="center"/>
          </w:tcPr>
          <w:p>
            <w:pPr>
              <w:spacing w:line="400" w:lineRule="exact"/>
              <w:ind w:firstLine="105" w:firstLineChars="50"/>
              <w:jc w:val="center"/>
              <w:rPr>
                <w:szCs w:val="21"/>
              </w:rPr>
            </w:pPr>
            <w:r>
              <w:rPr>
                <w:rFonts w:hint="eastAsia"/>
                <w:szCs w:val="21"/>
              </w:rPr>
              <w:t>灵敏度幅值不确定度/</w:t>
            </w:r>
            <w:r>
              <w:rPr>
                <w:rFonts w:hint="eastAsia"/>
                <w:i/>
                <w:szCs w:val="21"/>
              </w:rPr>
              <w:t>U</w:t>
            </w:r>
            <w:r>
              <w:rPr>
                <w:rFonts w:hint="eastAsia"/>
                <w:szCs w:val="21"/>
                <w:vertAlign w:val="subscript"/>
              </w:rPr>
              <w:t>rel</w:t>
            </w:r>
            <w:r>
              <w:rPr>
                <w:rFonts w:hint="eastAsia"/>
                <w:szCs w:val="21"/>
              </w:rPr>
              <w:t>(</w:t>
            </w:r>
            <w:r>
              <w:rPr>
                <w:rFonts w:hint="eastAsia"/>
                <w:i/>
                <w:szCs w:val="21"/>
              </w:rPr>
              <w:t>k</w:t>
            </w:r>
            <w:r>
              <w:rPr>
                <w:rFonts w:hint="eastAsia"/>
                <w:szCs w:val="21"/>
              </w:rPr>
              <w:t>=2)</w:t>
            </w:r>
          </w:p>
        </w:tc>
        <w:tc>
          <w:tcPr>
            <w:tcW w:w="2268" w:type="dxa"/>
            <w:vAlign w:val="center"/>
          </w:tcPr>
          <w:p>
            <w:pPr>
              <w:spacing w:line="400" w:lineRule="exact"/>
              <w:ind w:firstLine="105" w:firstLineChars="50"/>
              <w:jc w:val="center"/>
              <w:rPr>
                <w:szCs w:val="21"/>
              </w:rPr>
            </w:pPr>
            <w:r>
              <w:rPr>
                <w:rFonts w:hint="eastAsia"/>
                <w:szCs w:val="21"/>
              </w:rPr>
              <w:t>幅值频率响应</w:t>
            </w:r>
          </w:p>
        </w:tc>
        <w:tc>
          <w:tcPr>
            <w:tcW w:w="2220" w:type="dxa"/>
            <w:vAlign w:val="center"/>
          </w:tcPr>
          <w:p>
            <w:pPr>
              <w:spacing w:line="400" w:lineRule="exact"/>
              <w:ind w:firstLine="105" w:firstLineChars="50"/>
              <w:jc w:val="center"/>
              <w:rPr>
                <w:szCs w:val="21"/>
              </w:rPr>
            </w:pPr>
            <w:r>
              <w:rPr>
                <w:rFonts w:hint="eastAsia"/>
                <w:szCs w:val="21"/>
              </w:rPr>
              <w:t>幅值线性度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224" w:type="dxa"/>
            <w:vAlign w:val="center"/>
          </w:tcPr>
          <w:p>
            <w:pPr>
              <w:spacing w:line="400" w:lineRule="exact"/>
              <w:ind w:left="-105" w:leftChars="-50" w:right="-105" w:rightChars="-50" w:firstLine="105" w:firstLineChars="50"/>
              <w:jc w:val="center"/>
              <w:rPr>
                <w:szCs w:val="21"/>
              </w:rPr>
            </w:pPr>
            <w:r>
              <w:rPr>
                <w:rFonts w:hint="eastAsia"/>
                <w:szCs w:val="21"/>
              </w:rPr>
              <w:t>压电式传感器</w:t>
            </w:r>
          </w:p>
        </w:tc>
        <w:tc>
          <w:tcPr>
            <w:tcW w:w="1985" w:type="dxa"/>
            <w:vMerge w:val="restart"/>
            <w:vAlign w:val="center"/>
          </w:tcPr>
          <w:p>
            <w:pPr>
              <w:spacing w:line="400" w:lineRule="exact"/>
              <w:ind w:right="-105" w:rightChars="-50"/>
              <w:jc w:val="center"/>
              <w:rPr>
                <w:szCs w:val="21"/>
              </w:rPr>
            </w:pPr>
            <w:r>
              <w:rPr>
                <w:rFonts w:hint="eastAsia"/>
                <w:szCs w:val="21"/>
              </w:rPr>
              <w:t>5.0%</w:t>
            </w:r>
          </w:p>
        </w:tc>
        <w:tc>
          <w:tcPr>
            <w:tcW w:w="2268" w:type="dxa"/>
            <w:vAlign w:val="center"/>
          </w:tcPr>
          <w:p>
            <w:pPr>
              <w:spacing w:line="400" w:lineRule="exact"/>
              <w:ind w:right="-105" w:rightChars="-50"/>
              <w:jc w:val="center"/>
              <w:rPr>
                <w:szCs w:val="21"/>
              </w:rPr>
            </w:pPr>
            <w:r>
              <w:rPr>
                <w:rFonts w:hint="eastAsia"/>
                <w:szCs w:val="21"/>
              </w:rPr>
              <w:t>±5%</w:t>
            </w:r>
          </w:p>
        </w:tc>
        <w:tc>
          <w:tcPr>
            <w:tcW w:w="2220" w:type="dxa"/>
            <w:vAlign w:val="center"/>
          </w:tcPr>
          <w:p>
            <w:pPr>
              <w:spacing w:line="400" w:lineRule="exact"/>
              <w:ind w:left="-105" w:leftChars="-50" w:right="-105" w:rightChars="-50" w:firstLine="105" w:firstLineChars="50"/>
              <w:jc w:val="center"/>
              <w:rPr>
                <w:szCs w:val="21"/>
              </w:rPr>
            </w:pPr>
            <w:r>
              <w:rPr>
                <w:rFonts w:hint="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2224" w:type="dxa"/>
            <w:vAlign w:val="center"/>
          </w:tcPr>
          <w:p>
            <w:pPr>
              <w:spacing w:line="400" w:lineRule="exact"/>
              <w:ind w:left="-105" w:leftChars="-50" w:right="-105" w:rightChars="-50" w:firstLine="105" w:firstLineChars="50"/>
              <w:jc w:val="center"/>
              <w:rPr>
                <w:szCs w:val="21"/>
              </w:rPr>
            </w:pPr>
            <w:r>
              <w:rPr>
                <w:rFonts w:hint="eastAsia"/>
                <w:szCs w:val="21"/>
              </w:rPr>
              <w:t>其他类型传感器</w:t>
            </w:r>
          </w:p>
        </w:tc>
        <w:tc>
          <w:tcPr>
            <w:tcW w:w="1985" w:type="dxa"/>
            <w:vMerge w:val="continue"/>
            <w:vAlign w:val="center"/>
          </w:tcPr>
          <w:p>
            <w:pPr>
              <w:spacing w:line="400" w:lineRule="exact"/>
              <w:ind w:right="-105" w:rightChars="-50"/>
              <w:jc w:val="center"/>
              <w:rPr>
                <w:szCs w:val="21"/>
              </w:rPr>
            </w:pPr>
          </w:p>
        </w:tc>
        <w:tc>
          <w:tcPr>
            <w:tcW w:w="2268" w:type="dxa"/>
            <w:vAlign w:val="center"/>
          </w:tcPr>
          <w:p>
            <w:pPr>
              <w:spacing w:line="400" w:lineRule="exact"/>
              <w:ind w:right="-105" w:rightChars="-50"/>
              <w:jc w:val="center"/>
              <w:rPr>
                <w:szCs w:val="21"/>
              </w:rPr>
            </w:pPr>
            <w:r>
              <w:rPr>
                <w:rFonts w:hint="eastAsia"/>
                <w:szCs w:val="21"/>
              </w:rPr>
              <w:t>±10%</w:t>
            </w:r>
          </w:p>
        </w:tc>
        <w:tc>
          <w:tcPr>
            <w:tcW w:w="2220" w:type="dxa"/>
            <w:vAlign w:val="center"/>
          </w:tcPr>
          <w:p>
            <w:pPr>
              <w:spacing w:line="400" w:lineRule="exact"/>
              <w:ind w:left="-105" w:leftChars="-50" w:right="-105" w:rightChars="-50" w:firstLine="105" w:firstLineChars="50"/>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97" w:type="dxa"/>
            <w:gridSpan w:val="4"/>
            <w:vAlign w:val="center"/>
          </w:tcPr>
          <w:p>
            <w:pPr>
              <w:spacing w:line="400" w:lineRule="exact"/>
              <w:ind w:left="-105" w:leftChars="-50" w:right="-105" w:rightChars="-50" w:firstLine="90" w:firstLineChars="50"/>
              <w:jc w:val="left"/>
              <w:rPr>
                <w:szCs w:val="21"/>
              </w:rPr>
            </w:pPr>
            <w:r>
              <w:rPr>
                <w:rFonts w:hint="eastAsia" w:ascii="宋体" w:hAnsi="宋体"/>
                <w:sz w:val="18"/>
                <w:szCs w:val="21"/>
              </w:rPr>
              <w:t>注：以上指标不用于合格性判定，仅供参考。</w:t>
            </w:r>
          </w:p>
        </w:tc>
      </w:tr>
    </w:tbl>
    <w:p>
      <w:pPr>
        <w:pStyle w:val="21"/>
        <w:adjustRightInd w:val="0"/>
        <w:spacing w:before="120" w:after="120" w:line="360" w:lineRule="auto"/>
        <w:contextualSpacing/>
        <w:jc w:val="both"/>
        <w:rPr>
          <w:sz w:val="24"/>
          <w:szCs w:val="24"/>
        </w:rPr>
      </w:pPr>
      <w:bookmarkStart w:id="27" w:name="_Toc2726"/>
      <w:r>
        <w:rPr>
          <w:rFonts w:hint="eastAsia"/>
          <w:sz w:val="24"/>
          <w:szCs w:val="24"/>
        </w:rPr>
        <w:t>5</w:t>
      </w:r>
      <w:r>
        <w:rPr>
          <w:sz w:val="24"/>
          <w:szCs w:val="24"/>
        </w:rPr>
        <w:t>校准</w:t>
      </w:r>
      <w:r>
        <w:rPr>
          <w:rFonts w:hint="eastAsia"/>
          <w:sz w:val="24"/>
          <w:szCs w:val="24"/>
        </w:rPr>
        <w:t>条件</w:t>
      </w:r>
      <w:bookmarkEnd w:id="27"/>
    </w:p>
    <w:p>
      <w:pPr>
        <w:pStyle w:val="21"/>
        <w:adjustRightInd w:val="0"/>
        <w:spacing w:before="120" w:after="120" w:line="360" w:lineRule="auto"/>
        <w:contextualSpacing/>
        <w:jc w:val="both"/>
        <w:rPr>
          <w:sz w:val="24"/>
          <w:szCs w:val="24"/>
        </w:rPr>
      </w:pPr>
      <w:bookmarkStart w:id="28" w:name="_Toc5803"/>
      <w:r>
        <w:rPr>
          <w:rFonts w:hint="eastAsia"/>
          <w:sz w:val="24"/>
          <w:szCs w:val="24"/>
        </w:rPr>
        <w:t>5</w:t>
      </w:r>
      <w:r>
        <w:rPr>
          <w:sz w:val="24"/>
          <w:szCs w:val="24"/>
        </w:rPr>
        <w:t>.1环境条件</w:t>
      </w:r>
      <w:bookmarkEnd w:id="28"/>
    </w:p>
    <w:p>
      <w:pPr>
        <w:snapToGrid w:val="0"/>
        <w:spacing w:line="360" w:lineRule="auto"/>
        <w:rPr>
          <w:rFonts w:ascii="Arial" w:hAnsi="Arial" w:cs="Arial"/>
          <w:sz w:val="24"/>
          <w:szCs w:val="21"/>
        </w:rPr>
      </w:pPr>
      <w:r>
        <w:rPr>
          <w:rFonts w:hint="eastAsia" w:ascii="宋体" w:hAnsi="宋体" w:cs="宋体"/>
          <w:sz w:val="24"/>
          <w:szCs w:val="32"/>
        </w:rPr>
        <w:t>5.1.1</w:t>
      </w:r>
      <w:r>
        <w:rPr>
          <w:rFonts w:hint="eastAsia" w:ascii="Arial" w:hAnsi="Arial" w:cs="Arial"/>
          <w:sz w:val="24"/>
          <w:szCs w:val="21"/>
        </w:rPr>
        <w:t>环境温度：比较法振动标准要求</w:t>
      </w:r>
      <w:r>
        <w:rPr>
          <w:rFonts w:hint="eastAsia" w:cs="Arial" w:asciiTheme="minorEastAsia" w:hAnsiTheme="minorEastAsia" w:eastAsiaTheme="minorEastAsia"/>
          <w:sz w:val="24"/>
          <w:szCs w:val="21"/>
        </w:rPr>
        <w:t>（23±5）</w:t>
      </w:r>
      <w:r>
        <w:rPr>
          <w:rFonts w:cs="Arial" w:asciiTheme="minorEastAsia" w:hAnsiTheme="minorEastAsia" w:eastAsiaTheme="minorEastAsia"/>
          <w:sz w:val="24"/>
          <w:szCs w:val="21"/>
        </w:rPr>
        <w:t>℃</w:t>
      </w:r>
      <w:r>
        <w:rPr>
          <w:rFonts w:hint="eastAsia" w:ascii="Arial" w:hAnsi="Arial" w:cs="Arial"/>
          <w:sz w:val="24"/>
          <w:szCs w:val="21"/>
        </w:rPr>
        <w:t>；</w:t>
      </w:r>
    </w:p>
    <w:p>
      <w:pPr>
        <w:snapToGrid w:val="0"/>
        <w:spacing w:line="360" w:lineRule="auto"/>
        <w:rPr>
          <w:rFonts w:cs="Arial" w:asciiTheme="minorEastAsia" w:hAnsiTheme="minorEastAsia" w:eastAsiaTheme="minorEastAsia"/>
          <w:sz w:val="24"/>
          <w:szCs w:val="21"/>
        </w:rPr>
      </w:pPr>
      <w:r>
        <w:rPr>
          <w:rFonts w:hint="eastAsia" w:ascii="宋体" w:hAnsi="宋体" w:cs="宋体"/>
          <w:sz w:val="24"/>
          <w:szCs w:val="32"/>
        </w:rPr>
        <w:t>5</w:t>
      </w:r>
      <w:r>
        <w:rPr>
          <w:rFonts w:ascii="宋体" w:hAnsi="宋体" w:cs="宋体"/>
          <w:sz w:val="24"/>
          <w:szCs w:val="32"/>
        </w:rPr>
        <w:t>.</w:t>
      </w:r>
      <w:r>
        <w:rPr>
          <w:rFonts w:hint="eastAsia" w:ascii="宋体" w:hAnsi="宋体" w:cs="宋体"/>
          <w:sz w:val="24"/>
          <w:szCs w:val="32"/>
        </w:rPr>
        <w:t>1</w:t>
      </w:r>
      <w:r>
        <w:rPr>
          <w:rFonts w:ascii="宋体" w:hAnsi="宋体" w:cs="宋体"/>
          <w:sz w:val="24"/>
          <w:szCs w:val="32"/>
        </w:rPr>
        <w:t>.</w:t>
      </w:r>
      <w:r>
        <w:rPr>
          <w:rFonts w:hint="eastAsia" w:ascii="宋体" w:hAnsi="宋体" w:cs="宋体"/>
          <w:sz w:val="24"/>
          <w:szCs w:val="32"/>
        </w:rPr>
        <w:t>2相对</w:t>
      </w:r>
      <w:r>
        <w:rPr>
          <w:rFonts w:cs="Arial" w:asciiTheme="minorEastAsia" w:hAnsiTheme="minorEastAsia" w:eastAsiaTheme="minorEastAsia"/>
          <w:sz w:val="24"/>
          <w:szCs w:val="21"/>
        </w:rPr>
        <w:t>湿度：</w:t>
      </w:r>
      <w:r>
        <w:rPr>
          <w:rFonts w:cs="Arial" w:asciiTheme="minorEastAsia" w:hAnsiTheme="minorEastAsia" w:eastAsiaTheme="minorEastAsia"/>
          <w:sz w:val="24"/>
        </w:rPr>
        <w:t>≤</w:t>
      </w:r>
      <w:r>
        <w:rPr>
          <w:rFonts w:hint="eastAsia" w:cs="Arial" w:asciiTheme="minorEastAsia" w:hAnsiTheme="minorEastAsia" w:eastAsiaTheme="minorEastAsia"/>
          <w:sz w:val="24"/>
          <w:szCs w:val="21"/>
        </w:rPr>
        <w:t>75</w:t>
      </w:r>
      <w:r>
        <w:rPr>
          <w:rFonts w:cs="Arial" w:asciiTheme="minorEastAsia" w:hAnsiTheme="minorEastAsia" w:eastAsiaTheme="minorEastAsia"/>
          <w:sz w:val="24"/>
          <w:szCs w:val="21"/>
        </w:rPr>
        <w:t>%</w:t>
      </w:r>
      <w:r>
        <w:rPr>
          <w:rFonts w:hint="eastAsia" w:cs="Arial" w:asciiTheme="minorEastAsia" w:hAnsiTheme="minorEastAsia" w:eastAsiaTheme="minorEastAsia"/>
          <w:sz w:val="24"/>
          <w:szCs w:val="21"/>
        </w:rPr>
        <w:t>；</w:t>
      </w:r>
    </w:p>
    <w:p>
      <w:pPr>
        <w:snapToGrid w:val="0"/>
        <w:spacing w:line="360" w:lineRule="auto"/>
        <w:rPr>
          <w:rFonts w:ascii="Arial" w:hAnsi="Arial" w:cs="Arial"/>
          <w:sz w:val="24"/>
          <w:szCs w:val="21"/>
        </w:rPr>
      </w:pPr>
      <w:r>
        <w:rPr>
          <w:rFonts w:hint="eastAsia" w:ascii="宋体" w:hAnsi="宋体" w:cs="宋体"/>
          <w:sz w:val="24"/>
          <w:szCs w:val="32"/>
        </w:rPr>
        <w:t>5</w:t>
      </w:r>
      <w:r>
        <w:rPr>
          <w:rFonts w:ascii="宋体" w:hAnsi="宋体" w:cs="宋体"/>
          <w:sz w:val="24"/>
          <w:szCs w:val="32"/>
        </w:rPr>
        <w:t>.</w:t>
      </w:r>
      <w:r>
        <w:rPr>
          <w:rFonts w:hint="eastAsia" w:ascii="宋体" w:hAnsi="宋体" w:cs="宋体"/>
          <w:sz w:val="24"/>
          <w:szCs w:val="32"/>
        </w:rPr>
        <w:t>1</w:t>
      </w:r>
      <w:r>
        <w:rPr>
          <w:rFonts w:ascii="宋体" w:hAnsi="宋体" w:cs="宋体"/>
          <w:sz w:val="24"/>
          <w:szCs w:val="32"/>
        </w:rPr>
        <w:t>.</w:t>
      </w:r>
      <w:r>
        <w:rPr>
          <w:rFonts w:hint="eastAsia" w:ascii="宋体" w:hAnsi="宋体" w:cs="宋体"/>
          <w:sz w:val="24"/>
          <w:szCs w:val="32"/>
        </w:rPr>
        <w:t>3</w:t>
      </w:r>
      <w:r>
        <w:rPr>
          <w:rFonts w:hint="eastAsia" w:ascii="Arial" w:hAnsi="Arial" w:cs="Arial"/>
          <w:sz w:val="24"/>
          <w:szCs w:val="21"/>
        </w:rPr>
        <w:t>周围环境无影响校准的污染、振动、电磁干扰、腐蚀性气液体等。</w:t>
      </w:r>
    </w:p>
    <w:p>
      <w:pPr>
        <w:pStyle w:val="21"/>
        <w:adjustRightInd w:val="0"/>
        <w:spacing w:before="120" w:after="120" w:line="360" w:lineRule="auto"/>
        <w:contextualSpacing/>
        <w:jc w:val="both"/>
        <w:rPr>
          <w:sz w:val="24"/>
          <w:szCs w:val="24"/>
        </w:rPr>
      </w:pPr>
      <w:bookmarkStart w:id="29" w:name="_Toc3263"/>
      <w:r>
        <w:rPr>
          <w:rFonts w:hint="eastAsia"/>
          <w:sz w:val="24"/>
          <w:szCs w:val="24"/>
        </w:rPr>
        <w:t>5</w:t>
      </w:r>
      <w:r>
        <w:rPr>
          <w:sz w:val="24"/>
          <w:szCs w:val="24"/>
        </w:rPr>
        <w:t>.</w:t>
      </w:r>
      <w:r>
        <w:rPr>
          <w:rFonts w:hint="eastAsia"/>
          <w:sz w:val="24"/>
          <w:szCs w:val="24"/>
        </w:rPr>
        <w:t>2测量标准及其他设备</w:t>
      </w:r>
      <w:bookmarkEnd w:id="29"/>
    </w:p>
    <w:p>
      <w:pPr>
        <w:snapToGrid w:val="0"/>
        <w:spacing w:line="360" w:lineRule="auto"/>
        <w:ind w:firstLine="480"/>
        <w:rPr>
          <w:rFonts w:ascii="Arial" w:hAnsi="Arial" w:cs="Arial"/>
          <w:sz w:val="24"/>
          <w:szCs w:val="21"/>
        </w:rPr>
      </w:pPr>
      <w:r>
        <w:rPr>
          <w:rFonts w:hint="eastAsia" w:ascii="Arial" w:hAnsi="Arial" w:cs="Arial"/>
          <w:sz w:val="24"/>
          <w:szCs w:val="21"/>
        </w:rPr>
        <w:t>测量标准及其他设备见表2。</w:t>
      </w:r>
    </w:p>
    <w:p>
      <w:pPr>
        <w:snapToGrid w:val="0"/>
        <w:spacing w:line="360" w:lineRule="auto"/>
        <w:ind w:firstLine="480"/>
        <w:rPr>
          <w:rFonts w:ascii="Arial" w:hAnsi="Arial" w:cs="Arial"/>
          <w:sz w:val="24"/>
          <w:szCs w:val="21"/>
        </w:rPr>
      </w:pPr>
      <w:r>
        <w:rPr>
          <w:rFonts w:hint="eastAsia" w:ascii="Arial" w:hAnsi="Arial" w:cs="Arial"/>
          <w:sz w:val="24"/>
          <w:szCs w:val="21"/>
        </w:rPr>
        <w:t>比较法振动标准装置：包括振动标准套组、振动发生系统、测量系统和必要的隔振基础，其频率范围应能覆盖被校振动变送器的使用频率，其不确定度应满足振动计量器具检定系统表的要求。</w:t>
      </w:r>
    </w:p>
    <w:p>
      <w:pPr>
        <w:snapToGrid w:val="0"/>
        <w:spacing w:line="360" w:lineRule="auto"/>
        <w:ind w:firstLine="480"/>
        <w:rPr>
          <w:rFonts w:ascii="Arial" w:hAnsi="Arial" w:cs="Arial"/>
          <w:sz w:val="24"/>
          <w:szCs w:val="21"/>
        </w:rPr>
      </w:pPr>
      <w:r>
        <w:rPr>
          <w:rFonts w:hint="eastAsia" w:ascii="Arial" w:hAnsi="Arial" w:cs="Arial"/>
          <w:sz w:val="24"/>
          <w:szCs w:val="21"/>
        </w:rPr>
        <w:t>绝对法振动标准装置：包括激光测振仪、振动发生系统、测量系统和必要的隔振基础，其频率范围应能覆盖被校振动变送器的使用频率，其不确定度应满足振动计量器具检定系统表的要求。</w:t>
      </w:r>
    </w:p>
    <w:p>
      <w:pPr>
        <w:snapToGrid w:val="0"/>
        <w:spacing w:line="360" w:lineRule="auto"/>
        <w:ind w:firstLine="480"/>
        <w:rPr>
          <w:rFonts w:ascii="Arial" w:hAnsi="Arial" w:cs="Arial"/>
          <w:sz w:val="24"/>
          <w:szCs w:val="21"/>
        </w:rPr>
      </w:pPr>
    </w:p>
    <w:p>
      <w:pPr>
        <w:pStyle w:val="8"/>
        <w:adjustRightInd w:val="0"/>
        <w:snapToGrid w:val="0"/>
        <w:spacing w:before="240" w:line="360" w:lineRule="auto"/>
        <w:ind w:firstLine="0" w:firstLineChars="0"/>
        <w:jc w:val="center"/>
        <w:rPr>
          <w:rFonts w:ascii="Arial" w:hAnsi="Arial" w:cs="Arial"/>
          <w:sz w:val="21"/>
          <w:szCs w:val="21"/>
        </w:rPr>
      </w:pPr>
      <w:r>
        <w:rPr>
          <w:rFonts w:hint="eastAsia" w:ascii="Arial" w:hAnsi="Arial" w:cs="Arial"/>
          <w:sz w:val="21"/>
          <w:szCs w:val="21"/>
        </w:rPr>
        <w:t>表2测量标准及其他设备</w:t>
      </w:r>
    </w:p>
    <w:tbl>
      <w:tblPr>
        <w:tblStyle w:val="2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06"/>
        <w:gridCol w:w="2410"/>
        <w:gridCol w:w="21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45" w:type="dxa"/>
            <w:vMerge w:val="restart"/>
            <w:vAlign w:val="center"/>
          </w:tcPr>
          <w:p>
            <w:pPr>
              <w:jc w:val="center"/>
              <w:rPr>
                <w:rFonts w:ascii="宋体" w:hAnsi="宋体"/>
                <w:szCs w:val="21"/>
              </w:rPr>
            </w:pPr>
            <w:r>
              <w:rPr>
                <w:rFonts w:ascii="宋体" w:hAnsi="宋体"/>
                <w:szCs w:val="21"/>
              </w:rPr>
              <w:t>序号</w:t>
            </w:r>
          </w:p>
        </w:tc>
        <w:tc>
          <w:tcPr>
            <w:tcW w:w="1806" w:type="dxa"/>
            <w:vMerge w:val="restart"/>
            <w:vAlign w:val="center"/>
          </w:tcPr>
          <w:p>
            <w:pPr>
              <w:jc w:val="center"/>
              <w:rPr>
                <w:rFonts w:ascii="宋体" w:hAnsi="宋体"/>
                <w:szCs w:val="21"/>
              </w:rPr>
            </w:pPr>
            <w:r>
              <w:rPr>
                <w:rFonts w:ascii="宋体" w:hAnsi="宋体"/>
                <w:szCs w:val="21"/>
              </w:rPr>
              <w:t>校准</w:t>
            </w:r>
            <w:r>
              <w:rPr>
                <w:rFonts w:hint="eastAsia" w:ascii="宋体" w:hAnsi="宋体"/>
                <w:szCs w:val="21"/>
              </w:rPr>
              <w:t>用</w:t>
            </w:r>
            <w:r>
              <w:rPr>
                <w:rFonts w:ascii="宋体" w:hAnsi="宋体"/>
                <w:szCs w:val="21"/>
              </w:rPr>
              <w:t>标准装置</w:t>
            </w:r>
          </w:p>
          <w:p>
            <w:pPr>
              <w:jc w:val="center"/>
              <w:rPr>
                <w:rFonts w:ascii="宋体" w:hAnsi="宋体"/>
                <w:szCs w:val="21"/>
              </w:rPr>
            </w:pPr>
            <w:r>
              <w:rPr>
                <w:rFonts w:ascii="宋体" w:hAnsi="宋体"/>
                <w:szCs w:val="21"/>
              </w:rPr>
              <w:t>及配套设备</w:t>
            </w:r>
          </w:p>
        </w:tc>
        <w:tc>
          <w:tcPr>
            <w:tcW w:w="2410" w:type="dxa"/>
            <w:vMerge w:val="restart"/>
            <w:vAlign w:val="center"/>
          </w:tcPr>
          <w:p>
            <w:pPr>
              <w:jc w:val="center"/>
              <w:rPr>
                <w:rFonts w:ascii="宋体" w:hAnsi="宋体"/>
                <w:szCs w:val="21"/>
              </w:rPr>
            </w:pPr>
            <w:r>
              <w:rPr>
                <w:rFonts w:hint="eastAsia" w:ascii="宋体" w:hAnsi="宋体"/>
                <w:szCs w:val="21"/>
              </w:rPr>
              <w:t>技术要求</w:t>
            </w:r>
          </w:p>
        </w:tc>
        <w:tc>
          <w:tcPr>
            <w:tcW w:w="3153" w:type="dxa"/>
            <w:gridSpan w:val="2"/>
            <w:vAlign w:val="center"/>
          </w:tcPr>
          <w:p>
            <w:pPr>
              <w:jc w:val="center"/>
              <w:rPr>
                <w:rFonts w:ascii="宋体" w:hAnsi="宋体"/>
                <w:szCs w:val="21"/>
              </w:rPr>
            </w:pPr>
            <w:r>
              <w:rPr>
                <w:rFonts w:hint="eastAsia" w:ascii="宋体" w:hAnsi="宋体"/>
                <w:szCs w:val="21"/>
              </w:rPr>
              <w:t>最大允许误差</w:t>
            </w:r>
          </w:p>
          <w:p>
            <w:pPr>
              <w:jc w:val="center"/>
              <w:rPr>
                <w:rFonts w:ascii="宋体" w:hAnsi="宋体"/>
                <w:szCs w:val="21"/>
              </w:rPr>
            </w:pPr>
            <w:r>
              <w:rPr>
                <w:rFonts w:hint="eastAsia" w:ascii="宋体" w:hAnsi="宋体"/>
                <w:szCs w:val="21"/>
              </w:rPr>
              <w:t>/测量不确定度(</w:t>
            </w:r>
            <w:r>
              <w:rPr>
                <w:rFonts w:hint="eastAsia" w:ascii="宋体" w:hAnsi="宋体"/>
                <w:i/>
                <w:szCs w:val="21"/>
              </w:rPr>
              <w:t>k</w:t>
            </w: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45" w:type="dxa"/>
            <w:vMerge w:val="continue"/>
            <w:vAlign w:val="center"/>
          </w:tcPr>
          <w:p>
            <w:pPr>
              <w:jc w:val="center"/>
              <w:rPr>
                <w:rFonts w:ascii="宋体" w:hAnsi="宋体"/>
                <w:szCs w:val="21"/>
              </w:rPr>
            </w:pPr>
          </w:p>
        </w:tc>
        <w:tc>
          <w:tcPr>
            <w:tcW w:w="1806" w:type="dxa"/>
            <w:vMerge w:val="continue"/>
            <w:vAlign w:val="center"/>
          </w:tcPr>
          <w:p>
            <w:pPr>
              <w:jc w:val="center"/>
              <w:rPr>
                <w:rFonts w:ascii="宋体" w:hAnsi="宋体"/>
                <w:szCs w:val="21"/>
              </w:rPr>
            </w:pPr>
          </w:p>
        </w:tc>
        <w:tc>
          <w:tcPr>
            <w:tcW w:w="2410" w:type="dxa"/>
            <w:vMerge w:val="continue"/>
            <w:vAlign w:val="center"/>
          </w:tcPr>
          <w:p>
            <w:pPr>
              <w:jc w:val="center"/>
              <w:rPr>
                <w:rFonts w:ascii="宋体" w:hAnsi="宋体"/>
                <w:szCs w:val="21"/>
              </w:rPr>
            </w:pPr>
          </w:p>
        </w:tc>
        <w:tc>
          <w:tcPr>
            <w:tcW w:w="2126" w:type="dxa"/>
            <w:vAlign w:val="center"/>
          </w:tcPr>
          <w:p>
            <w:pPr>
              <w:jc w:val="center"/>
              <w:rPr>
                <w:rFonts w:ascii="宋体" w:hAnsi="宋体"/>
                <w:szCs w:val="21"/>
              </w:rPr>
            </w:pPr>
            <w:r>
              <w:rPr>
                <w:rFonts w:hint="eastAsia" w:ascii="宋体" w:hAnsi="宋体"/>
                <w:szCs w:val="21"/>
              </w:rPr>
              <w:t>频率范围</w:t>
            </w:r>
          </w:p>
        </w:tc>
        <w:tc>
          <w:tcPr>
            <w:tcW w:w="1027" w:type="dxa"/>
            <w:vAlign w:val="center"/>
          </w:tcPr>
          <w:p>
            <w:pPr>
              <w:jc w:val="center"/>
              <w:rPr>
                <w:rFonts w:ascii="宋体" w:hAnsi="宋体"/>
                <w:szCs w:val="21"/>
              </w:rPr>
            </w:pPr>
            <w:r>
              <w:rPr>
                <w:position w:val="-12"/>
              </w:rPr>
              <w:object>
                <v:shape id="_x0000_i1025" o:spt="75" type="#_x0000_t75" style="height:18pt;width:20.25pt;" o:ole="t" filled="f" o:preferrelative="t" stroked="f" coordsize="21600,21600">
                  <v:path/>
                  <v:fill on="f" focussize="0,0"/>
                  <v:stroke on="f" joinstyle="miter"/>
                  <v:imagedata r:id="rId16" o:title=""/>
                  <o:lock v:ext="edit" aspectratio="t"/>
                  <w10:wrap type="none"/>
                  <w10:anchorlock/>
                </v:shape>
                <o:OLEObject Type="Embed" ProgID="Equation.DSMT4" ShapeID="_x0000_i1025" DrawAspect="Content" ObjectID="_1468075725" r:id="rId1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45" w:type="dxa"/>
            <w:vMerge w:val="restart"/>
            <w:vAlign w:val="center"/>
          </w:tcPr>
          <w:p>
            <w:pPr>
              <w:jc w:val="center"/>
              <w:rPr>
                <w:rFonts w:ascii="宋体" w:hAnsi="宋体"/>
                <w:szCs w:val="21"/>
              </w:rPr>
            </w:pPr>
            <w:r>
              <w:rPr>
                <w:rFonts w:hint="eastAsia" w:ascii="宋体" w:hAnsi="宋体"/>
                <w:szCs w:val="21"/>
              </w:rPr>
              <w:t>1</w:t>
            </w:r>
          </w:p>
        </w:tc>
        <w:tc>
          <w:tcPr>
            <w:tcW w:w="1806" w:type="dxa"/>
            <w:vMerge w:val="restart"/>
            <w:vAlign w:val="center"/>
          </w:tcPr>
          <w:p>
            <w:pPr>
              <w:jc w:val="center"/>
              <w:rPr>
                <w:rFonts w:ascii="宋体" w:hAnsi="宋体"/>
                <w:szCs w:val="21"/>
              </w:rPr>
            </w:pPr>
            <w:r>
              <w:rPr>
                <w:rFonts w:hint="eastAsia" w:ascii="宋体" w:hAnsi="宋体"/>
                <w:szCs w:val="21"/>
              </w:rPr>
              <w:t>比较法振动标准装置</w:t>
            </w:r>
          </w:p>
        </w:tc>
        <w:tc>
          <w:tcPr>
            <w:tcW w:w="2410" w:type="dxa"/>
            <w:vMerge w:val="restart"/>
            <w:vAlign w:val="center"/>
          </w:tcPr>
          <w:p>
            <w:pPr>
              <w:rPr>
                <w:rFonts w:ascii="宋体" w:hAnsi="宋体"/>
                <w:szCs w:val="21"/>
              </w:rPr>
            </w:pPr>
            <w:r>
              <w:rPr>
                <w:rFonts w:hint="eastAsia" w:ascii="宋体" w:hAnsi="宋体"/>
                <w:szCs w:val="21"/>
              </w:rPr>
              <w:t>f: （0.01～5000）Hz</w:t>
            </w:r>
          </w:p>
          <w:p>
            <w:pPr>
              <w:rPr>
                <w:rFonts w:ascii="宋体" w:hAnsi="宋体"/>
                <w:szCs w:val="21"/>
                <w:vertAlign w:val="superscript"/>
              </w:rPr>
            </w:pPr>
            <w:r>
              <w:rPr>
                <w:rFonts w:ascii="宋体" w:hAnsi="宋体"/>
                <w:szCs w:val="21"/>
              </w:rPr>
              <w:t>a:</w:t>
            </w:r>
            <w:r>
              <w:rPr>
                <w:rFonts w:hint="eastAsia" w:ascii="宋体" w:hAnsi="宋体"/>
                <w:szCs w:val="21"/>
              </w:rPr>
              <w:t xml:space="preserve">  (0.1～200)m/s</w:t>
            </w:r>
            <w:r>
              <w:rPr>
                <w:rFonts w:hint="eastAsia" w:ascii="宋体" w:hAnsi="宋体"/>
                <w:szCs w:val="21"/>
                <w:vertAlign w:val="superscript"/>
              </w:rPr>
              <w:t>2</w:t>
            </w:r>
          </w:p>
          <w:p>
            <w:pPr>
              <w:rPr>
                <w:vertAlign w:val="superscript"/>
              </w:rPr>
            </w:pPr>
            <w:r>
              <w:rPr>
                <w:rFonts w:hint="eastAsia" w:ascii="宋体" w:hAnsi="宋体"/>
                <w:szCs w:val="21"/>
              </w:rPr>
              <w:t>v:</w:t>
            </w:r>
            <w:r>
              <w:rPr>
                <w:rFonts w:hint="eastAsia"/>
              </w:rPr>
              <w:t xml:space="preserve">  </w:t>
            </w:r>
            <w:r>
              <w:rPr>
                <w:rFonts w:hint="eastAsia" w:ascii="宋体" w:hAnsi="宋体"/>
                <w:szCs w:val="21"/>
              </w:rPr>
              <w:t>(1～400)mm/s</w:t>
            </w:r>
          </w:p>
          <w:p>
            <w:pPr>
              <w:rPr>
                <w:rFonts w:ascii="宋体" w:hAnsi="宋体"/>
                <w:szCs w:val="21"/>
              </w:rPr>
            </w:pPr>
            <w:r>
              <w:rPr>
                <w:rFonts w:hint="eastAsia" w:ascii="宋体" w:hAnsi="宋体"/>
                <w:szCs w:val="21"/>
              </w:rPr>
              <w:t xml:space="preserve">d: </w:t>
            </w:r>
            <w:r>
              <w:rPr>
                <w:rFonts w:hint="eastAsia" w:asciiTheme="minorEastAsia" w:hAnsiTheme="minorEastAsia" w:eastAsiaTheme="minorEastAsia"/>
                <w:szCs w:val="21"/>
              </w:rPr>
              <w:t xml:space="preserve"> </w:t>
            </w:r>
            <w:r>
              <w:rPr>
                <w:rFonts w:hint="eastAsia" w:asciiTheme="minorEastAsia" w:hAnsiTheme="minorEastAsia" w:eastAsiaTheme="minorEastAsia"/>
              </w:rPr>
              <w:t>(1×10</w:t>
            </w:r>
            <w:r>
              <w:rPr>
                <w:rFonts w:hint="eastAsia" w:asciiTheme="minorEastAsia" w:hAnsiTheme="minorEastAsia" w:eastAsiaTheme="minorEastAsia"/>
                <w:vertAlign w:val="superscript"/>
              </w:rPr>
              <w:t>-8</w:t>
            </w:r>
            <w:r>
              <w:rPr>
                <w:rFonts w:hint="eastAsia" w:ascii="宋体" w:hAnsi="宋体"/>
                <w:szCs w:val="21"/>
              </w:rPr>
              <w:t>～</w:t>
            </w:r>
            <w:r>
              <w:rPr>
                <w:rFonts w:hint="eastAsia" w:asciiTheme="minorEastAsia" w:hAnsiTheme="minorEastAsia" w:eastAsiaTheme="minorEastAsia"/>
              </w:rPr>
              <w:t>0.5)m</w:t>
            </w:r>
          </w:p>
        </w:tc>
        <w:tc>
          <w:tcPr>
            <w:tcW w:w="2126" w:type="dxa"/>
            <w:vAlign w:val="center"/>
          </w:tcPr>
          <w:p>
            <w:pPr>
              <w:jc w:val="center"/>
              <w:rPr>
                <w:rFonts w:ascii="宋体" w:hAnsi="宋体"/>
                <w:szCs w:val="21"/>
              </w:rPr>
            </w:pPr>
            <w:r>
              <w:rPr>
                <w:rFonts w:hint="eastAsia" w:ascii="宋体" w:hAnsi="宋体"/>
                <w:szCs w:val="21"/>
              </w:rPr>
              <w:t>（0.01～20）Hz</w:t>
            </w:r>
          </w:p>
        </w:tc>
        <w:tc>
          <w:tcPr>
            <w:tcW w:w="1027" w:type="dxa"/>
            <w:vAlign w:val="center"/>
          </w:tcPr>
          <w:p>
            <w:pPr>
              <w:jc w:val="center"/>
              <w:rPr>
                <w:rFonts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45" w:type="dxa"/>
            <w:vMerge w:val="continue"/>
            <w:tcBorders>
              <w:bottom w:val="single" w:color="auto" w:sz="4" w:space="0"/>
            </w:tcBorders>
            <w:vAlign w:val="center"/>
          </w:tcPr>
          <w:p>
            <w:pPr>
              <w:jc w:val="center"/>
              <w:rPr>
                <w:rFonts w:ascii="宋体" w:hAnsi="宋体"/>
                <w:szCs w:val="21"/>
              </w:rPr>
            </w:pPr>
          </w:p>
        </w:tc>
        <w:tc>
          <w:tcPr>
            <w:tcW w:w="1806" w:type="dxa"/>
            <w:vMerge w:val="continue"/>
            <w:tcBorders>
              <w:bottom w:val="single" w:color="auto" w:sz="4" w:space="0"/>
            </w:tcBorders>
            <w:vAlign w:val="center"/>
          </w:tcPr>
          <w:p>
            <w:pPr>
              <w:jc w:val="center"/>
              <w:rPr>
                <w:rFonts w:ascii="宋体" w:hAnsi="宋体"/>
                <w:szCs w:val="21"/>
              </w:rPr>
            </w:pPr>
          </w:p>
        </w:tc>
        <w:tc>
          <w:tcPr>
            <w:tcW w:w="2410" w:type="dxa"/>
            <w:vMerge w:val="continue"/>
            <w:tcBorders>
              <w:bottom w:val="single" w:color="auto" w:sz="4" w:space="0"/>
            </w:tcBorders>
            <w:vAlign w:val="center"/>
          </w:tcPr>
          <w:p>
            <w:pPr>
              <w:rPr>
                <w:rFonts w:ascii="宋体" w:hAnsi="宋体"/>
                <w:szCs w:val="21"/>
              </w:rPr>
            </w:pPr>
          </w:p>
        </w:tc>
        <w:tc>
          <w:tcPr>
            <w:tcW w:w="2126" w:type="dxa"/>
            <w:tcBorders>
              <w:bottom w:val="single" w:color="auto" w:sz="4" w:space="0"/>
            </w:tcBorders>
            <w:vAlign w:val="center"/>
          </w:tcPr>
          <w:p>
            <w:pPr>
              <w:jc w:val="center"/>
              <w:rPr>
                <w:rFonts w:ascii="宋体" w:hAnsi="宋体"/>
                <w:szCs w:val="21"/>
              </w:rPr>
            </w:pPr>
            <w:r>
              <w:rPr>
                <w:rFonts w:hint="eastAsia" w:ascii="宋体" w:hAnsi="宋体"/>
                <w:szCs w:val="21"/>
              </w:rPr>
              <w:t>（&gt;20～2000）Hz</w:t>
            </w:r>
          </w:p>
        </w:tc>
        <w:tc>
          <w:tcPr>
            <w:tcW w:w="1027" w:type="dxa"/>
            <w:tcBorders>
              <w:bottom w:val="single" w:color="auto" w:sz="4" w:space="0"/>
            </w:tcBorders>
            <w:vAlign w:val="center"/>
          </w:tcPr>
          <w:p>
            <w:pPr>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5" w:type="dxa"/>
            <w:vMerge w:val="continue"/>
            <w:vAlign w:val="center"/>
          </w:tcPr>
          <w:p>
            <w:pPr>
              <w:jc w:val="center"/>
              <w:rPr>
                <w:rFonts w:ascii="宋体" w:hAnsi="宋体"/>
                <w:szCs w:val="21"/>
              </w:rPr>
            </w:pPr>
          </w:p>
        </w:tc>
        <w:tc>
          <w:tcPr>
            <w:tcW w:w="1806" w:type="dxa"/>
            <w:vMerge w:val="continue"/>
            <w:vAlign w:val="center"/>
          </w:tcPr>
          <w:p>
            <w:pPr>
              <w:jc w:val="center"/>
              <w:rPr>
                <w:rFonts w:ascii="宋体" w:hAnsi="宋体"/>
                <w:szCs w:val="21"/>
              </w:rPr>
            </w:pPr>
          </w:p>
        </w:tc>
        <w:tc>
          <w:tcPr>
            <w:tcW w:w="2410" w:type="dxa"/>
            <w:vMerge w:val="continue"/>
            <w:vAlign w:val="center"/>
          </w:tcPr>
          <w:p>
            <w:pPr>
              <w:rPr>
                <w:rFonts w:ascii="宋体" w:hAnsi="宋体"/>
                <w:szCs w:val="21"/>
              </w:rPr>
            </w:pPr>
          </w:p>
        </w:tc>
        <w:tc>
          <w:tcPr>
            <w:tcW w:w="2126" w:type="dxa"/>
            <w:vAlign w:val="center"/>
          </w:tcPr>
          <w:p>
            <w:pPr>
              <w:jc w:val="center"/>
              <w:rPr>
                <w:rFonts w:ascii="宋体" w:hAnsi="宋体"/>
                <w:szCs w:val="21"/>
              </w:rPr>
            </w:pPr>
            <w:r>
              <w:rPr>
                <w:rFonts w:hint="eastAsia" w:ascii="宋体" w:hAnsi="宋体"/>
                <w:szCs w:val="21"/>
              </w:rPr>
              <w:t>（&gt;2000～5000）Hz</w:t>
            </w:r>
          </w:p>
        </w:tc>
        <w:tc>
          <w:tcPr>
            <w:tcW w:w="1027" w:type="dxa"/>
            <w:vAlign w:val="center"/>
          </w:tcPr>
          <w:p>
            <w:pPr>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5" w:type="dxa"/>
            <w:vMerge w:val="restart"/>
            <w:vAlign w:val="center"/>
          </w:tcPr>
          <w:p>
            <w:pPr>
              <w:jc w:val="center"/>
              <w:rPr>
                <w:rFonts w:ascii="宋体" w:hAnsi="宋体"/>
                <w:szCs w:val="21"/>
              </w:rPr>
            </w:pPr>
            <w:r>
              <w:rPr>
                <w:rFonts w:hint="eastAsia" w:ascii="宋体" w:hAnsi="宋体"/>
                <w:szCs w:val="21"/>
              </w:rPr>
              <w:t>2</w:t>
            </w:r>
          </w:p>
        </w:tc>
        <w:tc>
          <w:tcPr>
            <w:tcW w:w="1806" w:type="dxa"/>
            <w:vMerge w:val="restart"/>
            <w:vAlign w:val="center"/>
          </w:tcPr>
          <w:p>
            <w:pPr>
              <w:jc w:val="center"/>
              <w:rPr>
                <w:rFonts w:ascii="宋体" w:hAnsi="宋体"/>
                <w:szCs w:val="21"/>
              </w:rPr>
            </w:pPr>
            <w:r>
              <w:rPr>
                <w:rFonts w:hint="eastAsia" w:ascii="宋体" w:hAnsi="宋体"/>
                <w:szCs w:val="21"/>
              </w:rPr>
              <w:t>绝对法振动标准装置</w:t>
            </w:r>
          </w:p>
        </w:tc>
        <w:tc>
          <w:tcPr>
            <w:tcW w:w="2410" w:type="dxa"/>
            <w:vMerge w:val="restart"/>
            <w:vAlign w:val="center"/>
          </w:tcPr>
          <w:p>
            <w:pPr>
              <w:rPr>
                <w:rFonts w:ascii="宋体" w:hAnsi="宋体"/>
                <w:szCs w:val="21"/>
              </w:rPr>
            </w:pPr>
            <w:r>
              <w:rPr>
                <w:rFonts w:hint="eastAsia" w:ascii="宋体" w:hAnsi="宋体"/>
                <w:szCs w:val="21"/>
              </w:rPr>
              <w:t>f: （0.005～5000）Hz</w:t>
            </w:r>
          </w:p>
          <w:p>
            <w:pPr>
              <w:rPr>
                <w:rFonts w:ascii="宋体" w:hAnsi="宋体"/>
                <w:szCs w:val="21"/>
                <w:vertAlign w:val="superscript"/>
              </w:rPr>
            </w:pPr>
            <w:r>
              <w:rPr>
                <w:rFonts w:ascii="宋体" w:hAnsi="宋体"/>
                <w:szCs w:val="21"/>
              </w:rPr>
              <w:t>a:</w:t>
            </w:r>
            <w:r>
              <w:rPr>
                <w:rFonts w:hint="eastAsia" w:ascii="宋体" w:hAnsi="宋体"/>
                <w:szCs w:val="21"/>
              </w:rPr>
              <w:t xml:space="preserve">  (0.1～200)m/s</w:t>
            </w:r>
            <w:r>
              <w:rPr>
                <w:rFonts w:hint="eastAsia" w:ascii="宋体" w:hAnsi="宋体"/>
                <w:szCs w:val="21"/>
                <w:vertAlign w:val="superscript"/>
              </w:rPr>
              <w:t>2</w:t>
            </w:r>
          </w:p>
          <w:p>
            <w:pPr>
              <w:rPr>
                <w:vertAlign w:val="superscript"/>
              </w:rPr>
            </w:pPr>
            <w:r>
              <w:rPr>
                <w:rFonts w:hint="eastAsia" w:ascii="宋体" w:hAnsi="宋体"/>
                <w:szCs w:val="21"/>
              </w:rPr>
              <w:t>v:</w:t>
            </w:r>
            <w:r>
              <w:rPr>
                <w:rFonts w:hint="eastAsia"/>
              </w:rPr>
              <w:t xml:space="preserve">  </w:t>
            </w:r>
            <w:r>
              <w:rPr>
                <w:rFonts w:hint="eastAsia" w:ascii="宋体" w:hAnsi="宋体"/>
                <w:szCs w:val="21"/>
              </w:rPr>
              <w:t>(1～400)mm/s</w:t>
            </w:r>
          </w:p>
          <w:p>
            <w:pPr>
              <w:rPr>
                <w:rFonts w:ascii="宋体" w:hAnsi="宋体"/>
                <w:szCs w:val="21"/>
              </w:rPr>
            </w:pPr>
            <w:r>
              <w:rPr>
                <w:rFonts w:hint="eastAsia" w:ascii="宋体" w:hAnsi="宋体"/>
                <w:szCs w:val="21"/>
              </w:rPr>
              <w:t xml:space="preserve">d: </w:t>
            </w:r>
            <w:r>
              <w:rPr>
                <w:rFonts w:hint="eastAsia" w:asciiTheme="minorEastAsia" w:hAnsiTheme="minorEastAsia" w:eastAsiaTheme="minorEastAsia"/>
                <w:szCs w:val="21"/>
              </w:rPr>
              <w:t xml:space="preserve"> </w:t>
            </w:r>
            <w:r>
              <w:rPr>
                <w:rFonts w:hint="eastAsia" w:asciiTheme="minorEastAsia" w:hAnsiTheme="minorEastAsia" w:eastAsiaTheme="minorEastAsia"/>
              </w:rPr>
              <w:t>(1×10</w:t>
            </w:r>
            <w:r>
              <w:rPr>
                <w:rFonts w:hint="eastAsia" w:asciiTheme="minorEastAsia" w:hAnsiTheme="minorEastAsia" w:eastAsiaTheme="minorEastAsia"/>
                <w:vertAlign w:val="superscript"/>
              </w:rPr>
              <w:t>-8</w:t>
            </w:r>
            <w:r>
              <w:rPr>
                <w:rFonts w:hint="eastAsia" w:ascii="宋体" w:hAnsi="宋体"/>
                <w:szCs w:val="21"/>
              </w:rPr>
              <w:t>～</w:t>
            </w:r>
            <w:r>
              <w:rPr>
                <w:rFonts w:hint="eastAsia" w:asciiTheme="minorEastAsia" w:hAnsiTheme="minorEastAsia" w:eastAsiaTheme="minorEastAsia"/>
              </w:rPr>
              <w:t>0.5)m</w:t>
            </w:r>
          </w:p>
        </w:tc>
        <w:tc>
          <w:tcPr>
            <w:tcW w:w="2126" w:type="dxa"/>
            <w:vAlign w:val="center"/>
          </w:tcPr>
          <w:p>
            <w:pPr>
              <w:jc w:val="center"/>
              <w:rPr>
                <w:rFonts w:ascii="宋体" w:hAnsi="宋体"/>
                <w:szCs w:val="21"/>
              </w:rPr>
            </w:pPr>
            <w:r>
              <w:rPr>
                <w:rFonts w:hint="eastAsia" w:ascii="宋体" w:hAnsi="宋体"/>
                <w:szCs w:val="21"/>
              </w:rPr>
              <w:t>（0.005～0.01）Hz</w:t>
            </w:r>
          </w:p>
        </w:tc>
        <w:tc>
          <w:tcPr>
            <w:tcW w:w="1027" w:type="dxa"/>
            <w:vAlign w:val="center"/>
          </w:tcPr>
          <w:p>
            <w:pPr>
              <w:jc w:val="center"/>
              <w:rPr>
                <w:rFonts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5" w:type="dxa"/>
            <w:vMerge w:val="continue"/>
            <w:vAlign w:val="center"/>
          </w:tcPr>
          <w:p>
            <w:pPr>
              <w:jc w:val="center"/>
              <w:rPr>
                <w:rFonts w:ascii="宋体" w:hAnsi="宋体"/>
                <w:szCs w:val="21"/>
              </w:rPr>
            </w:pPr>
          </w:p>
        </w:tc>
        <w:tc>
          <w:tcPr>
            <w:tcW w:w="1806" w:type="dxa"/>
            <w:vMerge w:val="continue"/>
            <w:vAlign w:val="center"/>
          </w:tcPr>
          <w:p>
            <w:pPr>
              <w:jc w:val="center"/>
              <w:rPr>
                <w:rFonts w:ascii="宋体" w:hAnsi="宋体"/>
                <w:szCs w:val="21"/>
              </w:rPr>
            </w:pPr>
          </w:p>
        </w:tc>
        <w:tc>
          <w:tcPr>
            <w:tcW w:w="2410" w:type="dxa"/>
            <w:vMerge w:val="continue"/>
            <w:vAlign w:val="center"/>
          </w:tcPr>
          <w:p>
            <w:pPr>
              <w:rPr>
                <w:rFonts w:ascii="宋体" w:hAnsi="宋体"/>
                <w:szCs w:val="21"/>
              </w:rPr>
            </w:pPr>
          </w:p>
        </w:tc>
        <w:tc>
          <w:tcPr>
            <w:tcW w:w="2126" w:type="dxa"/>
            <w:vAlign w:val="center"/>
          </w:tcPr>
          <w:p>
            <w:pPr>
              <w:jc w:val="center"/>
              <w:rPr>
                <w:rFonts w:ascii="宋体" w:hAnsi="宋体"/>
                <w:szCs w:val="21"/>
              </w:rPr>
            </w:pPr>
            <w:r>
              <w:rPr>
                <w:rFonts w:hint="eastAsia" w:ascii="宋体" w:hAnsi="宋体"/>
                <w:szCs w:val="21"/>
              </w:rPr>
              <w:t>（0.01～5000）Hz</w:t>
            </w:r>
          </w:p>
        </w:tc>
        <w:tc>
          <w:tcPr>
            <w:tcW w:w="1027" w:type="dxa"/>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5" w:type="dxa"/>
            <w:vAlign w:val="center"/>
          </w:tcPr>
          <w:p>
            <w:pPr>
              <w:jc w:val="center"/>
              <w:rPr>
                <w:rFonts w:ascii="宋体" w:hAnsi="宋体"/>
                <w:szCs w:val="21"/>
              </w:rPr>
            </w:pPr>
            <w:r>
              <w:rPr>
                <w:rFonts w:hint="eastAsia" w:ascii="宋体" w:hAnsi="宋体"/>
                <w:szCs w:val="21"/>
              </w:rPr>
              <w:t>3</w:t>
            </w:r>
          </w:p>
        </w:tc>
        <w:tc>
          <w:tcPr>
            <w:tcW w:w="1806" w:type="dxa"/>
            <w:vAlign w:val="center"/>
          </w:tcPr>
          <w:p>
            <w:pPr>
              <w:jc w:val="center"/>
              <w:rPr>
                <w:rFonts w:ascii="宋体" w:hAnsi="宋体"/>
                <w:szCs w:val="21"/>
              </w:rPr>
            </w:pPr>
            <w:r>
              <w:rPr>
                <w:rFonts w:hint="eastAsia" w:ascii="宋体" w:hAnsi="宋体"/>
                <w:szCs w:val="21"/>
              </w:rPr>
              <w:t>直流电流表</w:t>
            </w:r>
          </w:p>
        </w:tc>
        <w:tc>
          <w:tcPr>
            <w:tcW w:w="2410" w:type="dxa"/>
            <w:vAlign w:val="center"/>
          </w:tcPr>
          <w:p>
            <w:pPr>
              <w:jc w:val="left"/>
              <w:rPr>
                <w:rFonts w:ascii="宋体" w:hAnsi="宋体"/>
                <w:szCs w:val="21"/>
              </w:rPr>
            </w:pPr>
            <w:r>
              <w:rPr>
                <w:rFonts w:hint="eastAsia" w:ascii="宋体" w:hAnsi="宋体"/>
                <w:szCs w:val="21"/>
              </w:rPr>
              <w:t>直流电流：20 μA～3 A</w:t>
            </w:r>
          </w:p>
        </w:tc>
        <w:tc>
          <w:tcPr>
            <w:tcW w:w="3153" w:type="dxa"/>
            <w:gridSpan w:val="2"/>
            <w:vAlign w:val="center"/>
          </w:tcPr>
          <w:p>
            <w:pPr>
              <w:jc w:val="center"/>
              <w:rPr>
                <w:rFonts w:ascii="宋体" w:hAnsi="宋体"/>
                <w:szCs w:val="21"/>
              </w:rPr>
            </w:pPr>
            <w:r>
              <w:rPr>
                <w:rFonts w:hint="eastAsia" w:ascii="宋体" w:hAnsi="宋体"/>
                <w:szCs w:val="21"/>
              </w:rPr>
              <w:t>MPE：±0.1%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45" w:type="dxa"/>
            <w:vAlign w:val="center"/>
          </w:tcPr>
          <w:p>
            <w:pPr>
              <w:jc w:val="center"/>
              <w:rPr>
                <w:rFonts w:ascii="宋体" w:hAnsi="宋体"/>
                <w:szCs w:val="21"/>
              </w:rPr>
            </w:pPr>
            <w:r>
              <w:rPr>
                <w:rFonts w:hint="eastAsia" w:ascii="宋体" w:hAnsi="宋体"/>
                <w:szCs w:val="21"/>
              </w:rPr>
              <w:t>4</w:t>
            </w:r>
          </w:p>
        </w:tc>
        <w:tc>
          <w:tcPr>
            <w:tcW w:w="1806" w:type="dxa"/>
            <w:vAlign w:val="center"/>
          </w:tcPr>
          <w:p>
            <w:pPr>
              <w:jc w:val="center"/>
              <w:rPr>
                <w:rFonts w:ascii="宋体" w:hAnsi="宋体"/>
                <w:szCs w:val="21"/>
              </w:rPr>
            </w:pPr>
            <w:r>
              <w:rPr>
                <w:rFonts w:hint="eastAsia" w:ascii="宋体" w:hAnsi="宋体"/>
                <w:szCs w:val="21"/>
              </w:rPr>
              <w:t>直流电压表</w:t>
            </w:r>
          </w:p>
        </w:tc>
        <w:tc>
          <w:tcPr>
            <w:tcW w:w="2410" w:type="dxa"/>
            <w:vAlign w:val="center"/>
          </w:tcPr>
          <w:p>
            <w:pPr>
              <w:jc w:val="left"/>
              <w:rPr>
                <w:rFonts w:ascii="宋体" w:hAnsi="宋体"/>
                <w:szCs w:val="21"/>
              </w:rPr>
            </w:pPr>
            <w:r>
              <w:rPr>
                <w:rFonts w:hint="eastAsia" w:ascii="宋体" w:hAnsi="宋体"/>
                <w:szCs w:val="21"/>
              </w:rPr>
              <w:t>直流电压：</w:t>
            </w:r>
            <w:r>
              <w:rPr>
                <w:rFonts w:hint="eastAsia"/>
                <w:szCs w:val="21"/>
              </w:rPr>
              <w:t xml:space="preserve"> </w:t>
            </w:r>
            <w:r>
              <w:rPr>
                <w:rFonts w:hint="eastAsia" w:ascii="宋体" w:hAnsi="宋体"/>
                <w:szCs w:val="21"/>
              </w:rPr>
              <w:t>10 mV～30 V</w:t>
            </w:r>
          </w:p>
        </w:tc>
        <w:tc>
          <w:tcPr>
            <w:tcW w:w="3153" w:type="dxa"/>
            <w:gridSpan w:val="2"/>
            <w:vAlign w:val="center"/>
          </w:tcPr>
          <w:p>
            <w:pPr>
              <w:jc w:val="center"/>
              <w:rPr>
                <w:rFonts w:ascii="宋体" w:hAnsi="宋体"/>
                <w:szCs w:val="21"/>
              </w:rPr>
            </w:pPr>
            <w:r>
              <w:rPr>
                <w:rFonts w:hint="eastAsia" w:ascii="宋体" w:hAnsi="宋体"/>
                <w:szCs w:val="21"/>
              </w:rPr>
              <w:t>MPE：±0.1%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45" w:type="dxa"/>
            <w:vAlign w:val="center"/>
          </w:tcPr>
          <w:p>
            <w:pPr>
              <w:jc w:val="center"/>
              <w:rPr>
                <w:rFonts w:ascii="宋体" w:hAnsi="宋体"/>
                <w:szCs w:val="21"/>
              </w:rPr>
            </w:pPr>
            <w:r>
              <w:rPr>
                <w:rFonts w:hint="eastAsia" w:ascii="宋体" w:hAnsi="宋体"/>
                <w:szCs w:val="21"/>
              </w:rPr>
              <w:t>5</w:t>
            </w:r>
          </w:p>
        </w:tc>
        <w:tc>
          <w:tcPr>
            <w:tcW w:w="1806" w:type="dxa"/>
            <w:vAlign w:val="center"/>
          </w:tcPr>
          <w:p>
            <w:pPr>
              <w:jc w:val="center"/>
              <w:rPr>
                <w:rFonts w:ascii="宋体" w:hAnsi="宋体"/>
                <w:szCs w:val="21"/>
              </w:rPr>
            </w:pPr>
            <w:r>
              <w:rPr>
                <w:rFonts w:ascii="宋体" w:hAnsi="宋体"/>
                <w:szCs w:val="21"/>
              </w:rPr>
              <w:t>直流稳压源</w:t>
            </w:r>
          </w:p>
        </w:tc>
        <w:tc>
          <w:tcPr>
            <w:tcW w:w="2410" w:type="dxa"/>
            <w:vAlign w:val="center"/>
          </w:tcPr>
          <w:p>
            <w:pPr>
              <w:jc w:val="left"/>
              <w:rPr>
                <w:rFonts w:ascii="宋体" w:hAnsi="宋体"/>
                <w:szCs w:val="21"/>
              </w:rPr>
            </w:pPr>
            <w:r>
              <w:rPr>
                <w:rFonts w:hint="eastAsia" w:ascii="宋体" w:hAnsi="宋体"/>
                <w:szCs w:val="21"/>
              </w:rPr>
              <w:t>直流电压：（10～32</w:t>
            </w:r>
            <w:r>
              <w:rPr>
                <w:rFonts w:ascii="宋体" w:hAnsi="宋体"/>
                <w:szCs w:val="21"/>
              </w:rPr>
              <w:t>）</w:t>
            </w:r>
            <w:r>
              <w:rPr>
                <w:rFonts w:hint="eastAsia" w:ascii="宋体" w:hAnsi="宋体"/>
                <w:szCs w:val="21"/>
              </w:rPr>
              <w:t>V</w:t>
            </w:r>
          </w:p>
        </w:tc>
        <w:tc>
          <w:tcPr>
            <w:tcW w:w="3153" w:type="dxa"/>
            <w:gridSpan w:val="2"/>
            <w:vAlign w:val="center"/>
          </w:tcPr>
          <w:p>
            <w:pPr>
              <w:jc w:val="center"/>
              <w:rPr>
                <w:rFonts w:ascii="宋体" w:hAnsi="宋体"/>
                <w:szCs w:val="21"/>
              </w:rPr>
            </w:pPr>
            <w:r>
              <w:rPr>
                <w:rFonts w:hint="eastAsia" w:ascii="宋体" w:hAnsi="宋体"/>
                <w:szCs w:val="21"/>
              </w:rPr>
              <w:t>MPE：±1%</w:t>
            </w:r>
          </w:p>
        </w:tc>
      </w:tr>
    </w:tbl>
    <w:p>
      <w:pPr>
        <w:pStyle w:val="21"/>
        <w:adjustRightInd w:val="0"/>
        <w:spacing w:before="120" w:after="120" w:line="360" w:lineRule="auto"/>
        <w:contextualSpacing/>
        <w:jc w:val="both"/>
        <w:rPr>
          <w:sz w:val="24"/>
          <w:szCs w:val="24"/>
        </w:rPr>
      </w:pPr>
      <w:bookmarkStart w:id="30" w:name="_Toc12294"/>
      <w:r>
        <w:rPr>
          <w:rFonts w:hint="eastAsia"/>
          <w:sz w:val="24"/>
          <w:szCs w:val="24"/>
        </w:rPr>
        <w:t>6</w:t>
      </w:r>
      <w:r>
        <w:rPr>
          <w:sz w:val="24"/>
          <w:szCs w:val="24"/>
        </w:rPr>
        <w:t>校准项目和校准方法</w:t>
      </w:r>
      <w:bookmarkEnd w:id="30"/>
    </w:p>
    <w:p>
      <w:pPr>
        <w:pStyle w:val="21"/>
        <w:adjustRightInd w:val="0"/>
        <w:spacing w:before="120" w:after="120" w:line="360" w:lineRule="auto"/>
        <w:contextualSpacing/>
        <w:jc w:val="both"/>
        <w:rPr>
          <w:sz w:val="24"/>
          <w:szCs w:val="24"/>
        </w:rPr>
      </w:pPr>
      <w:bookmarkStart w:id="31" w:name="_Toc31191"/>
      <w:r>
        <w:rPr>
          <w:rFonts w:hint="eastAsia"/>
          <w:sz w:val="24"/>
          <w:szCs w:val="24"/>
        </w:rPr>
        <w:t>6.1校准项目</w:t>
      </w:r>
      <w:bookmarkEnd w:id="31"/>
    </w:p>
    <w:p>
      <w:pPr>
        <w:snapToGrid w:val="0"/>
        <w:spacing w:line="360" w:lineRule="auto"/>
        <w:rPr>
          <w:rFonts w:ascii="Arial" w:hAnsi="Arial" w:eastAsia="黑体" w:cs="Arial"/>
          <w:sz w:val="24"/>
        </w:rPr>
      </w:pPr>
      <w:r>
        <w:rPr>
          <w:rFonts w:hint="eastAsia" w:ascii="Arial" w:hAnsi="Arial" w:cs="Arial"/>
          <w:sz w:val="24"/>
          <w:szCs w:val="21"/>
        </w:rPr>
        <w:t xml:space="preserve">    校准项目见表3</w:t>
      </w:r>
    </w:p>
    <w:p>
      <w:pPr>
        <w:pStyle w:val="8"/>
        <w:adjustRightInd w:val="0"/>
        <w:snapToGrid w:val="0"/>
        <w:spacing w:before="240" w:line="360" w:lineRule="auto"/>
        <w:ind w:firstLine="0" w:firstLineChars="0"/>
        <w:jc w:val="center"/>
        <w:rPr>
          <w:rFonts w:ascii="Arial" w:hAnsi="Arial" w:cs="Arial"/>
          <w:sz w:val="21"/>
          <w:szCs w:val="21"/>
        </w:rPr>
      </w:pPr>
      <w:r>
        <w:rPr>
          <w:rFonts w:hint="eastAsia" w:ascii="Arial" w:hAnsi="Arial" w:cs="Arial"/>
          <w:sz w:val="21"/>
          <w:szCs w:val="21"/>
        </w:rPr>
        <w:t>表3校准项目一览表</w:t>
      </w:r>
    </w:p>
    <w:tbl>
      <w:tblPr>
        <w:tblStyle w:val="2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2820"/>
        <w:gridCol w:w="2268"/>
        <w:gridCol w:w="2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891"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序号</w:t>
            </w:r>
          </w:p>
        </w:tc>
        <w:tc>
          <w:tcPr>
            <w:tcW w:w="2820"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校准项目</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计量特性条款号</w:t>
            </w:r>
          </w:p>
        </w:tc>
        <w:tc>
          <w:tcPr>
            <w:tcW w:w="2574"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校准项目对应条款号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891"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1</w:t>
            </w:r>
          </w:p>
        </w:tc>
        <w:tc>
          <w:tcPr>
            <w:tcW w:w="2820"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参考灵敏度</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4</w:t>
            </w:r>
            <w:r>
              <w:rPr>
                <w:rFonts w:ascii="宋体" w:hAnsi="宋体" w:cs="宋体"/>
                <w:szCs w:val="21"/>
              </w:rPr>
              <w:t>.1</w:t>
            </w:r>
          </w:p>
        </w:tc>
        <w:tc>
          <w:tcPr>
            <w:tcW w:w="2574"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 w:hRule="atLeast"/>
          <w:jc w:val="center"/>
        </w:trPr>
        <w:tc>
          <w:tcPr>
            <w:tcW w:w="891"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2</w:t>
            </w:r>
          </w:p>
        </w:tc>
        <w:tc>
          <w:tcPr>
            <w:tcW w:w="2820"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ascii="宋体" w:hAnsi="宋体" w:cs="宋体"/>
                <w:szCs w:val="21"/>
              </w:rPr>
              <w:t>频率响应</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4</w:t>
            </w:r>
            <w:r>
              <w:rPr>
                <w:rFonts w:ascii="宋体" w:hAnsi="宋体" w:cs="宋体"/>
                <w:szCs w:val="21"/>
              </w:rPr>
              <w:t>.</w:t>
            </w:r>
            <w:r>
              <w:rPr>
                <w:rFonts w:hint="eastAsia" w:ascii="宋体" w:hAnsi="宋体" w:cs="宋体"/>
                <w:szCs w:val="21"/>
              </w:rPr>
              <w:t>2</w:t>
            </w:r>
          </w:p>
        </w:tc>
        <w:tc>
          <w:tcPr>
            <w:tcW w:w="2574"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6.2.3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 w:hRule="atLeast"/>
          <w:jc w:val="center"/>
        </w:trPr>
        <w:tc>
          <w:tcPr>
            <w:tcW w:w="891"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3</w:t>
            </w:r>
          </w:p>
        </w:tc>
        <w:tc>
          <w:tcPr>
            <w:tcW w:w="2820"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幅值线性度</w:t>
            </w:r>
          </w:p>
        </w:tc>
        <w:tc>
          <w:tcPr>
            <w:tcW w:w="2268"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4.3</w:t>
            </w:r>
          </w:p>
        </w:tc>
        <w:tc>
          <w:tcPr>
            <w:tcW w:w="2574" w:type="dxa"/>
            <w:tcBorders>
              <w:top w:val="single" w:color="000000" w:sz="4" w:space="0"/>
              <w:left w:val="single" w:color="000000" w:sz="4" w:space="0"/>
              <w:bottom w:val="single" w:color="000000" w:sz="4" w:space="0"/>
              <w:right w:val="single" w:color="000000" w:sz="4" w:space="0"/>
            </w:tcBorders>
            <w:vAlign w:val="center"/>
          </w:tcPr>
          <w:p>
            <w:pPr>
              <w:spacing w:before="156" w:beforeLines="50" w:after="156" w:afterLines="50"/>
              <w:jc w:val="center"/>
              <w:outlineLvl w:val="3"/>
              <w:rPr>
                <w:rFonts w:ascii="宋体" w:hAnsi="宋体" w:cs="宋体"/>
                <w:szCs w:val="21"/>
              </w:rPr>
            </w:pPr>
            <w:r>
              <w:rPr>
                <w:rFonts w:hint="eastAsia" w:ascii="宋体" w:hAnsi="宋体" w:cs="宋体"/>
                <w:szCs w:val="21"/>
              </w:rPr>
              <w:t>6.2.4</w:t>
            </w:r>
          </w:p>
        </w:tc>
      </w:tr>
    </w:tbl>
    <w:p>
      <w:pPr>
        <w:pStyle w:val="21"/>
        <w:adjustRightInd w:val="0"/>
        <w:spacing w:before="120" w:after="120" w:line="360" w:lineRule="auto"/>
        <w:contextualSpacing/>
        <w:jc w:val="both"/>
        <w:rPr>
          <w:sz w:val="24"/>
          <w:szCs w:val="24"/>
        </w:rPr>
      </w:pPr>
      <w:bookmarkStart w:id="32" w:name="_Toc29922"/>
      <w:r>
        <w:rPr>
          <w:rFonts w:hint="eastAsia"/>
          <w:sz w:val="24"/>
          <w:szCs w:val="24"/>
        </w:rPr>
        <w:t>6</w:t>
      </w:r>
      <w:r>
        <w:rPr>
          <w:sz w:val="24"/>
          <w:szCs w:val="24"/>
        </w:rPr>
        <w:t>.</w:t>
      </w:r>
      <w:r>
        <w:rPr>
          <w:rFonts w:hint="eastAsia"/>
          <w:sz w:val="24"/>
          <w:szCs w:val="24"/>
        </w:rPr>
        <w:t>2校准</w:t>
      </w:r>
      <w:bookmarkStart w:id="33" w:name="_Toc511569536"/>
      <w:bookmarkStart w:id="34" w:name="_Toc408077128"/>
      <w:bookmarkStart w:id="35" w:name="_Toc408077363"/>
      <w:bookmarkStart w:id="36" w:name="_Toc408076926"/>
      <w:r>
        <w:rPr>
          <w:rFonts w:hint="eastAsia"/>
          <w:sz w:val="24"/>
          <w:szCs w:val="24"/>
        </w:rPr>
        <w:t>方法</w:t>
      </w:r>
      <w:bookmarkEnd w:id="32"/>
    </w:p>
    <w:p>
      <w:pPr>
        <w:rPr>
          <w:sz w:val="24"/>
        </w:rPr>
      </w:pPr>
      <w:bookmarkStart w:id="37" w:name="_Toc512450398"/>
      <w:bookmarkStart w:id="38" w:name="_Toc512546687"/>
      <w:r>
        <w:rPr>
          <w:rFonts w:hint="eastAsia"/>
          <w:sz w:val="24"/>
        </w:rPr>
        <w:t>6.2.1</w:t>
      </w:r>
      <w:bookmarkEnd w:id="33"/>
      <w:bookmarkEnd w:id="37"/>
      <w:bookmarkEnd w:id="38"/>
      <w:r>
        <w:rPr>
          <w:rFonts w:hint="eastAsia"/>
          <w:sz w:val="24"/>
        </w:rPr>
        <w:t>外观检查及其它要求</w:t>
      </w:r>
    </w:p>
    <w:p>
      <w:pPr>
        <w:spacing w:line="360" w:lineRule="auto"/>
        <w:ind w:firstLine="480" w:firstLineChars="200"/>
        <w:rPr>
          <w:rFonts w:ascii="宋体" w:hAnsi="宋体" w:cs="宋体"/>
          <w:sz w:val="24"/>
        </w:rPr>
      </w:pPr>
      <w:r>
        <w:rPr>
          <w:rFonts w:hint="eastAsia" w:ascii="宋体" w:hAnsi="宋体" w:cs="宋体"/>
          <w:sz w:val="24"/>
        </w:rPr>
        <w:t>变送器上应标出型号、出厂编号、测量范围等；表面无明显划痕等缺陷，安装基面应平整光滑。变送器的输出导线及各连接部件应配套齐全、完好、可靠。</w:t>
      </w:r>
    </w:p>
    <w:p>
      <w:pPr>
        <w:spacing w:line="360" w:lineRule="auto"/>
        <w:ind w:firstLine="480" w:firstLineChars="200"/>
        <w:rPr>
          <w:rFonts w:ascii="宋体" w:hAnsi="宋体" w:cs="宋体"/>
          <w:sz w:val="24"/>
        </w:rPr>
      </w:pPr>
      <w:r>
        <w:rPr>
          <w:rFonts w:ascii="宋体" w:hAnsi="宋体" w:cs="宋体"/>
          <w:sz w:val="24"/>
        </w:rPr>
        <w:t>校准前需确认无影响计量特性的外观和机电功能方面的缺陷</w:t>
      </w:r>
      <w:r>
        <w:rPr>
          <w:rFonts w:hint="eastAsia" w:ascii="宋体" w:hAnsi="宋体" w:cs="宋体"/>
          <w:sz w:val="24"/>
        </w:rPr>
        <w:t>，振动变送器</w:t>
      </w:r>
      <w:r>
        <w:rPr>
          <w:rFonts w:ascii="宋体" w:hAnsi="宋体" w:cs="宋体"/>
          <w:sz w:val="24"/>
        </w:rPr>
        <w:t>工作正常。</w:t>
      </w:r>
    </w:p>
    <w:bookmarkEnd w:id="34"/>
    <w:bookmarkEnd w:id="35"/>
    <w:bookmarkEnd w:id="36"/>
    <w:p>
      <w:pPr>
        <w:spacing w:line="360" w:lineRule="auto"/>
        <w:rPr>
          <w:sz w:val="24"/>
        </w:rPr>
      </w:pPr>
      <w:r>
        <w:rPr>
          <w:rFonts w:hint="eastAsia"/>
          <w:sz w:val="24"/>
        </w:rPr>
        <w:t>6.2.2 参考灵敏度</w:t>
      </w:r>
    </w:p>
    <w:p>
      <w:pPr>
        <w:spacing w:line="360" w:lineRule="auto"/>
        <w:rPr>
          <w:sz w:val="24"/>
        </w:rPr>
      </w:pPr>
      <w:r>
        <w:rPr>
          <w:rFonts w:hint="eastAsia"/>
          <w:sz w:val="24"/>
        </w:rPr>
        <w:t>6.2.2.1 比较法测量参考灵敏度</w:t>
      </w:r>
    </w:p>
    <w:p>
      <w:pPr>
        <w:spacing w:line="360" w:lineRule="auto"/>
        <w:jc w:val="center"/>
        <w:rPr>
          <w:sz w:val="24"/>
        </w:rPr>
      </w:pPr>
      <w:r>
        <w:rPr>
          <w:sz w:val="24"/>
        </w:rPr>
        <w:drawing>
          <wp:inline distT="0" distB="0" distL="0" distR="0">
            <wp:extent cx="3562350" cy="2013585"/>
            <wp:effectExtent l="0" t="0" r="0" b="0"/>
            <wp:docPr id="1" name="图片 1" descr="C:\Users\Administrator\Desktop\2024年3月征求意见\Sna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2024年3月征求意见\Snap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66006" cy="2016022"/>
                    </a:xfrm>
                    <a:prstGeom prst="rect">
                      <a:avLst/>
                    </a:prstGeom>
                    <a:noFill/>
                    <a:ln>
                      <a:noFill/>
                    </a:ln>
                  </pic:spPr>
                </pic:pic>
              </a:graphicData>
            </a:graphic>
          </wp:inline>
        </w:drawing>
      </w:r>
    </w:p>
    <w:p>
      <w:pPr>
        <w:spacing w:line="360" w:lineRule="auto"/>
        <w:jc w:val="center"/>
        <w:rPr>
          <w:rFonts w:ascii="宋体" w:cs="宋体"/>
          <w:szCs w:val="21"/>
        </w:rPr>
      </w:pPr>
      <w:r>
        <w:rPr>
          <w:rFonts w:hint="eastAsia" w:ascii="宋体" w:cs="宋体"/>
          <w:szCs w:val="21"/>
        </w:rPr>
        <w:t>图2　振动变送器校准原理图</w:t>
      </w:r>
    </w:p>
    <w:p>
      <w:pPr>
        <w:spacing w:line="360" w:lineRule="auto"/>
        <w:ind w:firstLine="480" w:firstLineChars="200"/>
        <w:rPr>
          <w:rFonts w:ascii="宋体" w:hAnsi="宋体" w:cs="宋体"/>
          <w:sz w:val="24"/>
        </w:rPr>
      </w:pPr>
      <w:r>
        <w:rPr>
          <w:rFonts w:hint="eastAsia" w:ascii="宋体" w:hAnsi="宋体" w:cs="宋体"/>
          <w:sz w:val="24"/>
        </w:rPr>
        <w:t>将参考标准加速度计和被测振动变送器背靠背刚性地安装在振动台台面中心（或肩并肩安装，但要使其感受相同的振动），对于特殊的振动变送器按说明书要求进行安装，保证连接可靠,如校准原理图2，在被测振动变送器动态范围内选取某一实用的频率[参考点推荐80 Hz、30 Hz或16 Hz]和振动幅值[参考点推荐10mm/s、20mm/s或50mm/s]进行正弦激振，其被测振动变送器的输出电信号与所承受的振动幅值之比为该传感器的参考灵敏度，其计算方法按式（1）计算：</w:t>
      </w:r>
    </w:p>
    <w:p>
      <w:pPr>
        <w:adjustRightInd w:val="0"/>
        <w:snapToGrid w:val="0"/>
        <w:spacing w:line="360" w:lineRule="auto"/>
        <w:ind w:firstLine="480" w:firstLineChars="200"/>
        <w:jc w:val="right"/>
        <w:rPr>
          <w:rFonts w:ascii="宋体" w:hAnsi="宋体" w:cs="宋体"/>
          <w:sz w:val="24"/>
        </w:rPr>
      </w:pPr>
      <w:r>
        <w:rPr>
          <w:rFonts w:hint="eastAsia" w:ascii="宋体" w:hAnsi="宋体" w:cs="宋体"/>
          <w:sz w:val="24"/>
        </w:rPr>
        <w:t xml:space="preserve">                               </w:t>
      </w:r>
      <w:r>
        <w:rPr>
          <w:rFonts w:ascii="宋体" w:hAnsi="宋体" w:cs="宋体"/>
          <w:position w:val="-24"/>
          <w:sz w:val="24"/>
        </w:rPr>
        <w:object>
          <v:shape id="_x0000_i1026" o:spt="75" type="#_x0000_t75" style="height:31.5pt;width:63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r>
        <w:rPr>
          <w:rFonts w:hint="eastAsia" w:ascii="宋体" w:hAnsi="宋体" w:cs="宋体"/>
          <w:sz w:val="24"/>
        </w:rPr>
        <w:t xml:space="preserve">                           （1）</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式中：</w:t>
      </w:r>
      <w:r>
        <w:rPr>
          <w:rFonts w:ascii="宋体" w:hAnsi="宋体" w:cs="宋体"/>
          <w:position w:val="-6"/>
          <w:sz w:val="24"/>
        </w:rPr>
        <w:object>
          <v:shape id="_x0000_i1027" o:spt="75" type="#_x0000_t75" style="height:14.25pt;width:11.25pt;" o:ole="t" filled="f" o:preferrelative="t" stroked="f" coordsize="21600,21600">
            <v:path/>
            <v:fill on="f" focussize="0,0"/>
            <v:stroke on="f" joinstyle="miter"/>
            <v:imagedata r:id="rId21" o:title=""/>
            <o:lock v:ext="edit" aspectratio="t"/>
            <w10:wrap type="none"/>
            <w10:anchorlock/>
          </v:shape>
          <o:OLEObject Type="Embed" ProgID="Equation.DSMT4" ShapeID="_x0000_i1027" DrawAspect="Content" ObjectID="_1468075727" r:id="rId20">
            <o:LockedField>false</o:LockedField>
          </o:OLEObject>
        </w:object>
      </w:r>
      <w:r>
        <w:rPr>
          <w:rFonts w:hint="eastAsia" w:ascii="宋体" w:hAnsi="宋体" w:cs="宋体"/>
          <w:sz w:val="24"/>
        </w:rPr>
        <w:t>-振动变送器的参考灵敏度，mV（mA</w:t>
      </w:r>
      <w:r>
        <w:rPr>
          <w:rFonts w:ascii="宋体" w:hAnsi="宋体" w:cs="宋体"/>
          <w:sz w:val="24"/>
        </w:rPr>
        <w:t>）</w:t>
      </w:r>
      <w:r>
        <w:rPr>
          <w:rFonts w:hint="eastAsia" w:ascii="宋体" w:hAnsi="宋体" w:cs="宋体"/>
          <w:sz w:val="24"/>
        </w:rPr>
        <w:t>/(m•s</w:t>
      </w:r>
      <w:r>
        <w:rPr>
          <w:rFonts w:hint="eastAsia" w:ascii="宋体" w:hAnsi="宋体" w:cs="宋体"/>
          <w:sz w:val="24"/>
          <w:vertAlign w:val="superscript"/>
        </w:rPr>
        <w:t>-2</w:t>
      </w:r>
      <w:r>
        <w:rPr>
          <w:rFonts w:hint="eastAsia" w:ascii="宋体" w:hAnsi="宋体" w:cs="宋体"/>
          <w:sz w:val="24"/>
        </w:rPr>
        <w:t xml:space="preserve">)；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w:t>
      </w:r>
      <w:r>
        <w:rPr>
          <w:rFonts w:ascii="宋体" w:hAnsi="宋体" w:cs="宋体"/>
          <w:sz w:val="24"/>
        </w:rPr>
        <w:object>
          <v:shape id="_x0000_i1028" o:spt="75" type="#_x0000_t75" style="height:13.5pt;width:12.75pt;" o:ole="t" filled="f" o:preferrelative="t" stroked="f" coordsize="21600,21600">
            <v:path/>
            <v:fill on="f" focussize="0,0"/>
            <v:stroke on="f" joinstyle="miter"/>
            <v:imagedata r:id="rId23" o:title=""/>
            <o:lock v:ext="edit" aspectratio="t"/>
            <w10:wrap type="none"/>
            <w10:anchorlock/>
          </v:shape>
          <o:OLEObject Type="Embed" ProgID="Equation.DSMT4" ShapeID="_x0000_i1028" DrawAspect="Content" ObjectID="_1468075728" r:id="rId22">
            <o:LockedField>false</o:LockedField>
          </o:OLEObject>
        </w:object>
      </w:r>
      <w:r>
        <w:rPr>
          <w:rFonts w:hint="eastAsia" w:ascii="宋体" w:hAnsi="宋体" w:cs="宋体"/>
          <w:sz w:val="24"/>
        </w:rPr>
        <w:t>-振动变送器的输出电信号，mV(mA)；</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w:t>
      </w:r>
      <w:r>
        <w:rPr>
          <w:rFonts w:ascii="宋体" w:hAnsi="宋体" w:cs="宋体"/>
          <w:position w:val="-6"/>
          <w:sz w:val="24"/>
        </w:rPr>
        <w:object>
          <v:shape id="_x0000_i1029" o:spt="75" type="#_x0000_t75" style="height:10.5pt;width:9.75pt;" o:ole="t" filled="f" o:preferrelative="t" stroked="f" coordsize="21600,21600">
            <v:path/>
            <v:fill on="f" focussize="0,0"/>
            <v:stroke on="f" joinstyle="miter"/>
            <v:imagedata r:id="rId25" o:title=""/>
            <o:lock v:ext="edit" aspectratio="t"/>
            <w10:wrap type="none"/>
            <w10:anchorlock/>
          </v:shape>
          <o:OLEObject Type="Embed" ProgID="Equation.DSMT4" ShapeID="_x0000_i1029" DrawAspect="Content" ObjectID="_1468075729" r:id="rId24">
            <o:LockedField>false</o:LockedField>
          </o:OLEObject>
        </w:object>
      </w:r>
      <w:r>
        <w:rPr>
          <w:rFonts w:hint="eastAsia" w:ascii="宋体" w:hAnsi="宋体" w:cs="宋体"/>
          <w:sz w:val="24"/>
        </w:rPr>
        <w:t>-参考点的振动加速度，m/s</w:t>
      </w:r>
      <w:r>
        <w:rPr>
          <w:rFonts w:hint="eastAsia" w:ascii="宋体" w:hAnsi="宋体" w:cs="宋体"/>
          <w:sz w:val="24"/>
          <w:vertAlign w:val="superscript"/>
        </w:rPr>
        <w:t>2</w:t>
      </w:r>
      <w:r>
        <w:rPr>
          <w:rFonts w:hint="eastAsia" w:ascii="宋体" w:hAnsi="宋体" w:cs="宋体"/>
          <w:sz w:val="24"/>
        </w:rPr>
        <w:t xml:space="preserve">； </w:t>
      </w:r>
    </w:p>
    <w:p>
      <w:pPr>
        <w:adjustRightInd w:val="0"/>
        <w:snapToGrid w:val="0"/>
        <w:spacing w:line="360" w:lineRule="auto"/>
        <w:ind w:firstLine="1155" w:firstLineChars="550"/>
        <w:rPr>
          <w:rFonts w:ascii="宋体" w:hAnsi="宋体" w:cs="宋体"/>
          <w:sz w:val="24"/>
        </w:rPr>
      </w:pPr>
      <w:r>
        <w:rPr>
          <w:position w:val="-10"/>
        </w:rPr>
        <w:object>
          <v:shape id="_x0000_i1030" o:spt="75" type="#_x0000_t75" style="height:16.5pt;width:12pt;" o:ole="t" filled="f" o:preferrelative="t" stroked="f" coordsize="21600,21600">
            <v:path/>
            <v:fill on="f" focussize="0,0"/>
            <v:stroke on="f" joinstyle="miter"/>
            <v:imagedata r:id="rId27" o:title=""/>
            <o:lock v:ext="edit" aspectratio="t"/>
            <w10:wrap type="none"/>
            <w10:anchorlock/>
          </v:shape>
          <o:OLEObject Type="Embed" ProgID="Equation.DSMT4" ShapeID="_x0000_i1030" DrawAspect="Content" ObjectID="_1468075730" r:id="rId26">
            <o:LockedField>false</o:LockedField>
          </o:OLEObject>
        </w:object>
      </w:r>
      <w:r>
        <w:rPr>
          <w:rFonts w:hint="eastAsia" w:ascii="宋体" w:hAnsi="宋体" w:cs="宋体"/>
          <w:sz w:val="24"/>
        </w:rPr>
        <w:t>-参考点的频率，Hz。</w:t>
      </w:r>
    </w:p>
    <w:p>
      <w:pPr>
        <w:spacing w:line="360" w:lineRule="auto"/>
        <w:rPr>
          <w:sz w:val="24"/>
        </w:rPr>
      </w:pPr>
      <w:r>
        <w:rPr>
          <w:rFonts w:hint="eastAsia"/>
          <w:sz w:val="24"/>
        </w:rPr>
        <w:t>6.2.2.2 绝对法测量参考灵敏度</w:t>
      </w:r>
    </w:p>
    <w:p>
      <w:pPr>
        <w:spacing w:line="360" w:lineRule="auto"/>
        <w:ind w:firstLine="480" w:firstLineChars="200"/>
        <w:rPr>
          <w:rFonts w:ascii="宋体" w:hAnsi="宋体" w:cs="宋体"/>
          <w:sz w:val="24"/>
        </w:rPr>
      </w:pPr>
      <w:r>
        <w:rPr>
          <w:rFonts w:hint="eastAsia" w:ascii="宋体" w:hAnsi="宋体" w:cs="宋体"/>
          <w:sz w:val="24"/>
        </w:rPr>
        <w:t xml:space="preserve">将被测振动变送器刚性地安装在振动台台面中心，在被测振动变送器动态范围内选取某一实用的频率[参考点推荐80 Hz、30 Hz或16 Hz]和振动幅值[参考点推荐10mm/s、20mm/s或50mm/s]进行正弦激振，将激光光点调整到靠近振动台台面中心的位置，则被测振动变送器的输出电信号与所承受的振动幅值之比为该传感器的参考灵敏度，其计算方法按式（2）计算。 </w:t>
      </w:r>
    </w:p>
    <w:p>
      <w:pPr>
        <w:adjustRightInd w:val="0"/>
        <w:snapToGrid w:val="0"/>
        <w:spacing w:line="360" w:lineRule="auto"/>
        <w:ind w:firstLine="480" w:firstLineChars="200"/>
        <w:jc w:val="right"/>
        <w:rPr>
          <w:rFonts w:ascii="宋体" w:hAnsi="宋体" w:cs="宋体"/>
          <w:sz w:val="24"/>
        </w:rPr>
      </w:pPr>
      <w:r>
        <w:rPr>
          <w:rFonts w:hint="eastAsia" w:ascii="宋体" w:hAnsi="宋体" w:cs="宋体"/>
          <w:sz w:val="24"/>
        </w:rPr>
        <w:t xml:space="preserve">               </w:t>
      </w:r>
      <w:r>
        <w:rPr>
          <w:rFonts w:ascii="宋体" w:hAnsi="宋体" w:cs="宋体"/>
          <w:position w:val="-24"/>
          <w:sz w:val="24"/>
        </w:rPr>
        <w:object>
          <v:shape id="_x0000_i1031" o:spt="75" type="#_x0000_t75" style="height:31.5pt;width:32.25pt;" o:ole="t" filled="f" o:preferrelative="t" stroked="f" coordsize="21600,21600">
            <v:path/>
            <v:fill on="f" focussize="0,0"/>
            <v:stroke on="f" joinstyle="miter"/>
            <v:imagedata r:id="rId29" o:title=""/>
            <o:lock v:ext="edit" aspectratio="t"/>
            <w10:wrap type="none"/>
            <w10:anchorlock/>
          </v:shape>
          <o:OLEObject Type="Embed" ProgID="Equation.DSMT4" ShapeID="_x0000_i1031" DrawAspect="Content" ObjectID="_1468075731" r:id="rId28">
            <o:LockedField>false</o:LockedField>
          </o:OLEObject>
        </w:object>
      </w:r>
      <w:r>
        <w:rPr>
          <w:rFonts w:hint="eastAsia" w:ascii="宋体" w:hAnsi="宋体" w:cs="宋体"/>
          <w:sz w:val="24"/>
        </w:rPr>
        <w:t xml:space="preserve">                           （2）</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式中：</w:t>
      </w:r>
      <w:r>
        <w:rPr>
          <w:rFonts w:ascii="宋体" w:hAnsi="宋体" w:cs="宋体"/>
          <w:position w:val="-6"/>
          <w:sz w:val="24"/>
        </w:rPr>
        <w:object>
          <v:shape id="_x0000_i1032" o:spt="75" type="#_x0000_t75" style="height:14.25pt;width:11.2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30">
            <o:LockedField>false</o:LockedField>
          </o:OLEObject>
        </w:object>
      </w:r>
      <w:r>
        <w:rPr>
          <w:rFonts w:hint="eastAsia" w:ascii="宋体" w:hAnsi="宋体" w:cs="宋体"/>
          <w:sz w:val="24"/>
        </w:rPr>
        <w:t>-振动变送器的参考灵敏度，mV（mA</w:t>
      </w:r>
      <w:r>
        <w:rPr>
          <w:rFonts w:ascii="宋体" w:hAnsi="宋体" w:cs="宋体"/>
          <w:sz w:val="24"/>
        </w:rPr>
        <w:t>）</w:t>
      </w:r>
      <w:r>
        <w:rPr>
          <w:rFonts w:hint="eastAsia" w:ascii="宋体" w:hAnsi="宋体" w:cs="宋体"/>
          <w:sz w:val="24"/>
        </w:rPr>
        <w:t>/(mm•s</w:t>
      </w:r>
      <w:r>
        <w:rPr>
          <w:rFonts w:hint="eastAsia" w:ascii="宋体" w:hAnsi="宋体" w:cs="宋体"/>
          <w:sz w:val="24"/>
          <w:vertAlign w:val="superscript"/>
        </w:rPr>
        <w:t>-1</w:t>
      </w:r>
      <w:r>
        <w:rPr>
          <w:rFonts w:hint="eastAsia" w:ascii="宋体" w:hAnsi="宋体" w:cs="宋体"/>
          <w:sz w:val="24"/>
        </w:rPr>
        <w:t xml:space="preserve">)；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w:t>
      </w:r>
      <w:r>
        <w:rPr>
          <w:rFonts w:ascii="宋体" w:hAnsi="宋体" w:cs="宋体"/>
          <w:sz w:val="24"/>
        </w:rPr>
        <w:object>
          <v:shape id="_x0000_i1033" o:spt="75" type="#_x0000_t75" style="height:13.5pt;width:12.7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31">
            <o:LockedField>false</o:LockedField>
          </o:OLEObject>
        </w:object>
      </w:r>
      <w:r>
        <w:rPr>
          <w:rFonts w:hint="eastAsia" w:ascii="宋体" w:hAnsi="宋体" w:cs="宋体"/>
          <w:sz w:val="24"/>
        </w:rPr>
        <w:t>-振动变送器的输出电信号，mV（mA</w:t>
      </w:r>
      <w:r>
        <w:rPr>
          <w:rFonts w:ascii="宋体" w:hAnsi="宋体" w:cs="宋体"/>
          <w:sz w:val="24"/>
        </w:rPr>
        <w:t>）</w:t>
      </w:r>
      <w:r>
        <w:rPr>
          <w:rFonts w:hint="eastAsia" w:ascii="宋体" w:hAnsi="宋体" w:cs="宋体"/>
          <w:sz w:val="24"/>
        </w:rPr>
        <w:t>；</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w:t>
      </w:r>
      <w:r>
        <w:rPr>
          <w:position w:val="-6"/>
        </w:rPr>
        <w:object>
          <v:shape id="_x0000_i1034" o:spt="75" type="#_x0000_t75" style="height:10.5pt;width:9.75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r>
        <w:rPr>
          <w:rFonts w:hint="eastAsia" w:ascii="宋体" w:hAnsi="宋体" w:cs="宋体"/>
          <w:sz w:val="24"/>
        </w:rPr>
        <w:t xml:space="preserve">-参考点的振动幅值，mm/s； </w:t>
      </w:r>
    </w:p>
    <w:p>
      <w:pPr>
        <w:rPr>
          <w:sz w:val="24"/>
        </w:rPr>
      </w:pPr>
      <w:r>
        <w:rPr>
          <w:rFonts w:hint="eastAsia"/>
          <w:sz w:val="24"/>
        </w:rPr>
        <w:t>6.2.3频率响应</w:t>
      </w:r>
    </w:p>
    <w:p>
      <w:pPr>
        <w:spacing w:line="360" w:lineRule="auto"/>
        <w:ind w:firstLine="480" w:firstLineChars="200"/>
        <w:rPr>
          <w:rFonts w:ascii="宋体" w:hAnsi="宋体" w:cs="宋体"/>
          <w:sz w:val="24"/>
        </w:rPr>
      </w:pPr>
      <w:r>
        <w:rPr>
          <w:rFonts w:hint="eastAsia" w:ascii="宋体" w:hAnsi="宋体" w:cs="宋体"/>
          <w:sz w:val="24"/>
        </w:rPr>
        <w:t>将标准加速度计与被校振动变送器背靠背刚性地安装在振动台台面中心，对于特殊的振动变送器按说明书要求进行安装，保证连接可靠。</w:t>
      </w:r>
    </w:p>
    <w:p>
      <w:pPr>
        <w:spacing w:line="360" w:lineRule="auto"/>
        <w:ind w:firstLine="480" w:firstLineChars="200"/>
        <w:rPr>
          <w:rFonts w:ascii="宋体" w:hAnsi="宋体" w:cs="宋体"/>
          <w:sz w:val="24"/>
        </w:rPr>
      </w:pPr>
      <w:r>
        <w:rPr>
          <w:rFonts w:hint="eastAsia" w:ascii="宋体" w:hAnsi="宋体" w:cs="宋体"/>
          <w:sz w:val="24"/>
        </w:rPr>
        <w:t>在振动变送器工作频率范围内，均匀地或按倍频程选取至少7个频率值(其中包含参考点、频率上限和频率下限，参考点推荐80 Hz、30 Hz或16 Hz)，由振动标准装置给出适当的振动幅值，分别测量各频率点的输出值。振动变送器的频率响应按公式（3）计算：</w:t>
      </w:r>
    </w:p>
    <w:p>
      <w:pPr>
        <w:pStyle w:val="10"/>
        <w:ind w:firstLine="3120" w:firstLineChars="1300"/>
        <w:rPr>
          <w:sz w:val="24"/>
        </w:rPr>
      </w:pPr>
      <w:r>
        <w:rPr>
          <w:rFonts w:hint="eastAsia"/>
          <w:sz w:val="24"/>
        </w:rPr>
        <w:t xml:space="preserve">  </w:t>
      </w:r>
      <w:r>
        <w:rPr>
          <w:position w:val="-30"/>
        </w:rPr>
        <w:object>
          <v:shape id="_x0000_i1035" o:spt="75" type="#_x0000_t75" style="height:33pt;width:100.5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rPr>
          <w:rFonts w:hint="eastAsia"/>
          <w:sz w:val="24"/>
        </w:rPr>
        <w:tab/>
      </w:r>
      <w:r>
        <w:rPr>
          <w:rFonts w:hint="eastAsia"/>
          <w:sz w:val="24"/>
        </w:rPr>
        <w:tab/>
      </w:r>
      <w:r>
        <w:rPr>
          <w:rFonts w:hint="eastAsia"/>
          <w:sz w:val="24"/>
        </w:rPr>
        <w:tab/>
      </w:r>
      <w:r>
        <w:rPr>
          <w:rFonts w:hint="eastAsia"/>
          <w:sz w:val="24"/>
        </w:rPr>
        <w:t xml:space="preserve">                    （3）</w:t>
      </w:r>
    </w:p>
    <w:p>
      <w:pPr>
        <w:pStyle w:val="10"/>
        <w:spacing w:after="156" w:afterLines="50" w:line="400" w:lineRule="exact"/>
        <w:ind w:firstLine="0" w:firstLineChars="0"/>
        <w:rPr>
          <w:sz w:val="24"/>
        </w:rPr>
      </w:pPr>
      <w:r>
        <w:rPr>
          <w:rFonts w:hint="eastAsia"/>
          <w:sz w:val="24"/>
        </w:rPr>
        <w:t>式中：</w:t>
      </w:r>
      <w:r>
        <w:rPr>
          <w:position w:val="-4"/>
        </w:rPr>
        <w:object>
          <v:shape id="_x0000_i1036" o:spt="75" type="#_x0000_t75" style="height:13.5pt;width:18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6">
            <o:LockedField>false</o:LockedField>
          </o:OLEObject>
        </w:object>
      </w:r>
      <w:r>
        <w:rPr>
          <w:rFonts w:hAnsi="宋体"/>
          <w:sz w:val="24"/>
          <w:szCs w:val="24"/>
        </w:rPr>
        <w:t>—</w:t>
      </w:r>
      <w:r>
        <w:rPr>
          <w:rFonts w:hint="eastAsia"/>
          <w:sz w:val="24"/>
        </w:rPr>
        <w:t>频率响应，%；</w:t>
      </w:r>
    </w:p>
    <w:p>
      <w:pPr>
        <w:pStyle w:val="10"/>
        <w:spacing w:after="156" w:afterLines="50" w:line="400" w:lineRule="exact"/>
        <w:ind w:firstLine="735" w:firstLineChars="350"/>
        <w:rPr>
          <w:sz w:val="24"/>
        </w:rPr>
      </w:pPr>
      <w:r>
        <w:rPr>
          <w:position w:val="-12"/>
        </w:rPr>
        <w:object>
          <v:shape id="_x0000_i1037" o:spt="75" type="#_x0000_t75" style="height:18pt;width:13.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r>
        <w:rPr>
          <w:rFonts w:hAnsi="宋体"/>
          <w:sz w:val="24"/>
          <w:szCs w:val="24"/>
        </w:rPr>
        <w:t>—</w:t>
      </w:r>
      <w:r>
        <w:rPr>
          <w:rFonts w:hint="eastAsia"/>
          <w:sz w:val="24"/>
        </w:rPr>
        <w:t>振动变送器各测量点的实际输出值，mA或V；</w:t>
      </w:r>
    </w:p>
    <w:p>
      <w:pPr>
        <w:pStyle w:val="10"/>
        <w:spacing w:after="156" w:afterLines="50" w:line="400" w:lineRule="exact"/>
        <w:ind w:firstLine="480"/>
        <w:rPr>
          <w:sz w:val="24"/>
        </w:rPr>
      </w:pPr>
      <w:r>
        <w:rPr>
          <w:rFonts w:hint="eastAsia"/>
          <w:sz w:val="24"/>
        </w:rPr>
        <w:t xml:space="preserve">  </w:t>
      </w:r>
      <w:r>
        <w:rPr>
          <w:position w:val="-12"/>
        </w:rPr>
        <w:object>
          <v:shape id="_x0000_i1038" o:spt="75" type="#_x0000_t75" style="height:18pt;width:13.5pt;" o:ole="t" filled="f" o:preferrelative="t" stroked="f" coordsize="21600,21600">
            <v:path/>
            <v:fill on="f" focussize="0,0"/>
            <v:stroke on="f" joinstyle="miter"/>
            <v:imagedata r:id="rId41" o:title=""/>
            <o:lock v:ext="edit" aspectratio="t"/>
            <w10:wrap type="none"/>
            <w10:anchorlock/>
          </v:shape>
          <o:OLEObject Type="Embed" ProgID="Equation.DSMT4" ShapeID="_x0000_i1038" DrawAspect="Content" ObjectID="_1468075738" r:id="rId40">
            <o:LockedField>false</o:LockedField>
          </o:OLEObject>
        </w:object>
      </w:r>
      <w:r>
        <w:rPr>
          <w:rFonts w:hint="eastAsia"/>
          <w:sz w:val="24"/>
        </w:rPr>
        <w:t>—振动变送器在参考点的实际输出值，mA或V。</w:t>
      </w:r>
    </w:p>
    <w:p>
      <w:pPr>
        <w:rPr>
          <w:sz w:val="24"/>
        </w:rPr>
      </w:pPr>
      <w:r>
        <w:rPr>
          <w:rFonts w:hint="eastAsia"/>
          <w:sz w:val="24"/>
        </w:rPr>
        <w:t>6.2.4 幅值线性度</w:t>
      </w:r>
    </w:p>
    <w:p>
      <w:pPr>
        <w:spacing w:line="360" w:lineRule="auto"/>
        <w:ind w:firstLine="480" w:firstLineChars="200"/>
        <w:rPr>
          <w:rFonts w:ascii="宋体" w:hAnsi="宋体" w:cs="宋体"/>
          <w:sz w:val="24"/>
        </w:rPr>
      </w:pPr>
      <w:r>
        <w:rPr>
          <w:rFonts w:hint="eastAsia" w:ascii="宋体" w:hAnsi="宋体" w:cs="宋体"/>
          <w:sz w:val="24"/>
        </w:rPr>
        <w:t>以振动变送器工作频率范围内参考频率点（推荐80 Hz、30 Hz或16 Hz），在其测量范围内均匀选取包括上限值、下限值在内不少于6个测量点。选取某一频率点，在该频率不变的情况下，由振动标准装置给出适当的正弦激励，分别测量被校振动变送器在不同幅值下的输出电信号，采用最小二乘法计算幅值线性度。</w:t>
      </w:r>
    </w:p>
    <w:p>
      <w:pPr>
        <w:spacing w:line="360" w:lineRule="auto"/>
        <w:ind w:firstLine="480" w:firstLineChars="200"/>
        <w:rPr>
          <w:rFonts w:ascii="宋体" w:hAnsi="宋体" w:cs="宋体"/>
          <w:sz w:val="24"/>
        </w:rPr>
      </w:pPr>
      <w:r>
        <w:rPr>
          <w:rFonts w:hint="eastAsia" w:ascii="宋体" w:hAnsi="宋体" w:cs="宋体"/>
          <w:sz w:val="24"/>
        </w:rPr>
        <w:t>由</w:t>
      </w:r>
      <w:r>
        <w:rPr>
          <w:position w:val="-6"/>
        </w:rPr>
        <w:object>
          <v:shape id="_x0000_i1039" o:spt="75" type="#_x0000_t75" style="height:10.5pt;width:10.5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39" r:id="rId42">
            <o:LockedField>false</o:LockedField>
          </o:OLEObject>
        </w:object>
      </w:r>
      <w:r>
        <w:rPr>
          <w:rFonts w:hint="eastAsia" w:ascii="宋体" w:hAnsi="宋体" w:cs="宋体"/>
          <w:sz w:val="24"/>
        </w:rPr>
        <w:t>次测量的振动幅值和输出电信号，根据公式（4）求出回归直线方程：</w:t>
      </w:r>
    </w:p>
    <w:p>
      <w:pPr>
        <w:spacing w:line="360" w:lineRule="auto"/>
        <w:ind w:firstLine="3150" w:firstLineChars="1500"/>
        <w:rPr>
          <w:rFonts w:ascii="宋体" w:hAnsi="宋体" w:cs="宋体"/>
          <w:sz w:val="24"/>
        </w:rPr>
      </w:pPr>
      <w:r>
        <w:rPr>
          <w:position w:val="-12"/>
        </w:rPr>
        <w:object>
          <v:shape id="_x0000_i1040" o:spt="75" type="#_x0000_t75" style="height:17.25pt;width:74.25pt;" o:ole="t" filled="f" o:preferrelative="t" stroked="f" coordsize="21600,21600">
            <v:path/>
            <v:fill on="f" focussize="0,0"/>
            <v:stroke on="f" joinstyle="miter"/>
            <v:imagedata r:id="rId45" o:title=""/>
            <o:lock v:ext="edit" aspectratio="t"/>
            <w10:wrap type="none"/>
            <w10:anchorlock/>
          </v:shape>
          <o:OLEObject Type="Embed" ProgID="Equation.DSMT4" ShapeID="_x0000_i1040" DrawAspect="Content" ObjectID="_1468075740" r:id="rId44">
            <o:LockedField>false</o:LockedField>
          </o:OLEObject>
        </w:object>
      </w:r>
      <w:r>
        <w:rPr>
          <w:rFonts w:hint="eastAsia"/>
          <w:position w:val="-30"/>
        </w:rPr>
        <w:t xml:space="preserve">                                    </w:t>
      </w:r>
      <w:r>
        <w:rPr>
          <w:rFonts w:hint="eastAsia"/>
          <w:sz w:val="24"/>
        </w:rPr>
        <w:t>（4）式中：</w:t>
      </w:r>
    </w:p>
    <w:p>
      <w:pPr>
        <w:pStyle w:val="10"/>
        <w:spacing w:after="156" w:afterLines="50" w:line="240" w:lineRule="auto"/>
        <w:ind w:firstLine="0" w:firstLineChars="0"/>
        <w:rPr>
          <w:sz w:val="24"/>
        </w:rPr>
      </w:pPr>
      <w:r>
        <w:rPr>
          <w:rFonts w:hint="eastAsia"/>
          <w:sz w:val="24"/>
        </w:rPr>
        <w:t>斜率：</w:t>
      </w:r>
      <w:r>
        <w:rPr>
          <w:position w:val="-60"/>
        </w:rPr>
        <w:object>
          <v:shape id="_x0000_i1041" o:spt="75" type="#_x0000_t75" style="height:66.75pt;width:125.25pt;" o:ole="t" filled="f" o:preferrelative="t" stroked="f" coordsize="21600,21600">
            <v:path/>
            <v:fill on="f" focussize="0,0"/>
            <v:stroke on="f" joinstyle="miter"/>
            <v:imagedata r:id="rId47" o:title=""/>
            <o:lock v:ext="edit" aspectratio="t"/>
            <w10:wrap type="none"/>
            <w10:anchorlock/>
          </v:shape>
          <o:OLEObject Type="Embed" ProgID="Equation.DSMT4" ShapeID="_x0000_i1041" DrawAspect="Content" ObjectID="_1468075741" r:id="rId46">
            <o:LockedField>false</o:LockedField>
          </o:OLEObject>
        </w:object>
      </w:r>
    </w:p>
    <w:p>
      <w:pPr>
        <w:pStyle w:val="10"/>
        <w:spacing w:after="156" w:afterLines="50" w:line="240" w:lineRule="auto"/>
        <w:ind w:firstLine="0" w:firstLineChars="0"/>
        <w:rPr>
          <w:sz w:val="24"/>
        </w:rPr>
      </w:pPr>
      <w:r>
        <w:rPr>
          <w:rFonts w:hint="eastAsia"/>
          <w:sz w:val="24"/>
        </w:rPr>
        <w:t>截距：</w:t>
      </w:r>
      <w:r>
        <w:rPr>
          <w:position w:val="-24"/>
        </w:rPr>
        <w:object>
          <v:shape id="_x0000_i1042" o:spt="75" type="#_x0000_t75" style="height:47.25pt;width:95.25pt;" o:ole="t" filled="f" o:preferrelative="t" stroked="f" coordsize="21600,21600">
            <v:path/>
            <v:fill on="f" focussize="0,0"/>
            <v:stroke on="f" joinstyle="miter"/>
            <v:imagedata r:id="rId49" o:title=""/>
            <o:lock v:ext="edit" aspectratio="t"/>
            <w10:wrap type="none"/>
            <w10:anchorlock/>
          </v:shape>
          <o:OLEObject Type="Embed" ProgID="Equation.DSMT4" ShapeID="_x0000_i1042" DrawAspect="Content" ObjectID="_1468075742" r:id="rId48">
            <o:LockedField>false</o:LockedField>
          </o:OLEObject>
        </w:object>
      </w:r>
    </w:p>
    <w:p>
      <w:pPr>
        <w:pStyle w:val="10"/>
        <w:spacing w:after="156" w:afterLines="50" w:line="400" w:lineRule="exact"/>
        <w:ind w:firstLine="630" w:firstLineChars="300"/>
        <w:rPr>
          <w:rFonts w:hint="eastAsia"/>
          <w:sz w:val="24"/>
        </w:rPr>
      </w:pPr>
      <w:r>
        <w:rPr>
          <w:position w:val="-6"/>
        </w:rPr>
        <w:object>
          <v:shape id="_x0000_i1043" o:spt="75" type="#_x0000_t75" style="height:11pt;width:9pt;" o:ole="t" filled="f" o:preferrelative="t" stroked="f" coordsize="21600,21600">
            <v:path/>
            <v:fill on="f" focussize="0,0"/>
            <v:stroke on="f"/>
            <v:imagedata r:id="rId51" o:title=""/>
            <o:lock v:ext="edit" aspectratio="t"/>
            <w10:wrap type="none"/>
            <w10:anchorlock/>
          </v:shape>
          <o:OLEObject Type="Embed" ProgID="Equation.DSMT4" ShapeID="_x0000_i1043" DrawAspect="Content" ObjectID="_1468075743" r:id="rId50">
            <o:LockedField>false</o:LockedField>
          </o:OLEObject>
        </w:object>
      </w:r>
      <w:r>
        <w:rPr>
          <w:rFonts w:hAnsi="宋体"/>
          <w:sz w:val="24"/>
          <w:szCs w:val="24"/>
        </w:rPr>
        <w:t>—</w:t>
      </w:r>
      <w:r>
        <w:rPr>
          <w:rFonts w:hint="eastAsia"/>
          <w:sz w:val="24"/>
        </w:rPr>
        <w:t>振动变送器振幅值，</w:t>
      </w:r>
      <w:r>
        <w:rPr>
          <w:rFonts w:hint="eastAsia" w:hAnsi="宋体" w:cs="宋体"/>
          <w:sz w:val="24"/>
        </w:rPr>
        <w:t>mm/s</w:t>
      </w:r>
      <w:r>
        <w:rPr>
          <w:rFonts w:hint="eastAsia"/>
          <w:sz w:val="24"/>
        </w:rPr>
        <w:t xml:space="preserve">。 </w:t>
      </w:r>
    </w:p>
    <w:p>
      <w:pPr>
        <w:pStyle w:val="10"/>
        <w:spacing w:after="156" w:afterLines="50" w:line="400" w:lineRule="exact"/>
        <w:ind w:firstLine="0" w:firstLineChars="0"/>
        <w:rPr>
          <w:sz w:val="24"/>
        </w:rPr>
      </w:pPr>
      <w:r>
        <w:rPr>
          <w:rFonts w:hint="eastAsia"/>
          <w:sz w:val="24"/>
        </w:rPr>
        <w:t>幅值线性度为：</w:t>
      </w:r>
    </w:p>
    <w:p>
      <w:pPr>
        <w:pStyle w:val="10"/>
        <w:spacing w:after="156" w:afterLines="50" w:line="240" w:lineRule="auto"/>
        <w:ind w:firstLine="0" w:firstLineChars="0"/>
        <w:jc w:val="center"/>
        <w:rPr>
          <w:sz w:val="24"/>
        </w:rPr>
      </w:pPr>
      <w:r>
        <w:rPr>
          <w:position w:val="-30"/>
        </w:rPr>
        <w:object>
          <v:shape id="_x0000_i1044" o:spt="75" type="#_x0000_t75" style="height:33.75pt;width:82.5pt;" o:ole="t" filled="f" o:preferrelative="t" stroked="f" coordsize="21600,21600">
            <v:path/>
            <v:fill on="f" focussize="0,0"/>
            <v:stroke on="f" joinstyle="miter"/>
            <v:imagedata r:id="rId53" o:title=""/>
            <o:lock v:ext="edit" aspectratio="t"/>
            <w10:wrap type="none"/>
            <w10:anchorlock/>
          </v:shape>
          <o:OLEObject Type="Embed" ProgID="Equation.DSMT4" ShapeID="_x0000_i1044" DrawAspect="Content" ObjectID="_1468075744" r:id="rId52">
            <o:LockedField>false</o:LockedField>
          </o:OLEObject>
        </w:object>
      </w:r>
    </w:p>
    <w:p>
      <w:pPr>
        <w:pStyle w:val="10"/>
        <w:spacing w:after="156" w:afterLines="50" w:line="400" w:lineRule="exact"/>
        <w:ind w:firstLine="0" w:firstLineChars="0"/>
        <w:rPr>
          <w:sz w:val="24"/>
        </w:rPr>
      </w:pPr>
      <w:r>
        <w:rPr>
          <w:rFonts w:hint="eastAsia"/>
          <w:sz w:val="24"/>
        </w:rPr>
        <w:t>式中：</w:t>
      </w:r>
      <w:r>
        <w:rPr>
          <w:position w:val="-4"/>
        </w:rPr>
        <w:object>
          <v:shape id="_x0000_i1045" o:spt="75" type="#_x0000_t75" style="height:9.75pt;width:9.75pt;" o:ole="t" filled="f" o:preferrelative="t" stroked="f" coordsize="21600,21600">
            <v:path/>
            <v:fill on="f" focussize="0,0"/>
            <v:stroke on="f" joinstyle="miter"/>
            <v:imagedata r:id="rId55" o:title=""/>
            <o:lock v:ext="edit" aspectratio="t"/>
            <w10:wrap type="none"/>
            <w10:anchorlock/>
          </v:shape>
          <o:OLEObject Type="Embed" ProgID="Equation.DSMT4" ShapeID="_x0000_i1045" DrawAspect="Content" ObjectID="_1468075745" r:id="rId54">
            <o:LockedField>false</o:LockedField>
          </o:OLEObject>
        </w:object>
      </w:r>
      <w:r>
        <w:rPr>
          <w:rFonts w:hAnsi="宋体"/>
          <w:sz w:val="24"/>
          <w:szCs w:val="24"/>
        </w:rPr>
        <w:t>—</w:t>
      </w:r>
      <w:r>
        <w:rPr>
          <w:rFonts w:hint="eastAsia"/>
          <w:sz w:val="24"/>
        </w:rPr>
        <w:t>幅值线性度，%；</w:t>
      </w:r>
    </w:p>
    <w:p>
      <w:pPr>
        <w:pStyle w:val="10"/>
        <w:spacing w:after="156" w:afterLines="50" w:line="400" w:lineRule="exact"/>
        <w:ind w:firstLine="735" w:firstLineChars="350"/>
        <w:rPr>
          <w:sz w:val="24"/>
        </w:rPr>
      </w:pPr>
      <w:r>
        <w:rPr>
          <w:position w:val="-12"/>
        </w:rPr>
        <w:object>
          <v:shape id="_x0000_i1046" o:spt="75" type="#_x0000_t75" style="height:18pt;width:21pt;" o:ole="t" filled="f" o:preferrelative="t" stroked="f" coordsize="21600,21600">
            <v:path/>
            <v:fill on="f" focussize="0,0"/>
            <v:stroke on="f" joinstyle="miter"/>
            <v:imagedata r:id="rId57" o:title=""/>
            <o:lock v:ext="edit" aspectratio="t"/>
            <w10:wrap type="none"/>
            <w10:anchorlock/>
          </v:shape>
          <o:OLEObject Type="Embed" ProgID="Equation.DSMT4" ShapeID="_x0000_i1046" DrawAspect="Content" ObjectID="_1468075746" r:id="rId56">
            <o:LockedField>false</o:LockedField>
          </o:OLEObject>
        </w:object>
      </w:r>
      <w:r>
        <w:rPr>
          <w:rFonts w:hAnsi="宋体"/>
          <w:sz w:val="24"/>
          <w:szCs w:val="24"/>
        </w:rPr>
        <w:t>—</w:t>
      </w:r>
      <w:r>
        <w:rPr>
          <w:rFonts w:hint="eastAsia"/>
          <w:sz w:val="24"/>
        </w:rPr>
        <w:t>振动变送器最大振幅值，</w:t>
      </w:r>
      <w:r>
        <w:rPr>
          <w:rFonts w:hint="eastAsia" w:hAnsi="宋体" w:cs="宋体"/>
          <w:sz w:val="24"/>
        </w:rPr>
        <w:t>mm/s</w:t>
      </w:r>
      <w:r>
        <w:rPr>
          <w:rFonts w:hint="eastAsia"/>
          <w:sz w:val="24"/>
        </w:rPr>
        <w:t xml:space="preserve">。  </w:t>
      </w:r>
    </w:p>
    <w:p>
      <w:pPr>
        <w:pStyle w:val="21"/>
        <w:adjustRightInd w:val="0"/>
        <w:spacing w:before="120" w:after="120" w:line="360" w:lineRule="auto"/>
        <w:contextualSpacing/>
        <w:jc w:val="both"/>
        <w:rPr>
          <w:sz w:val="24"/>
          <w:szCs w:val="24"/>
        </w:rPr>
      </w:pPr>
      <w:bookmarkStart w:id="39" w:name="_Toc24568"/>
      <w:r>
        <w:rPr>
          <w:rFonts w:hint="eastAsia"/>
          <w:sz w:val="24"/>
          <w:szCs w:val="24"/>
        </w:rPr>
        <w:t>7</w:t>
      </w:r>
      <w:r>
        <w:rPr>
          <w:sz w:val="24"/>
          <w:szCs w:val="24"/>
        </w:rPr>
        <w:t>校准结果表达</w:t>
      </w:r>
      <w:bookmarkEnd w:id="39"/>
    </w:p>
    <w:p>
      <w:pPr>
        <w:autoSpaceDE w:val="0"/>
        <w:autoSpaceDN w:val="0"/>
        <w:adjustRightInd w:val="0"/>
        <w:snapToGrid w:val="0"/>
        <w:spacing w:line="360" w:lineRule="auto"/>
        <w:ind w:firstLine="480" w:firstLineChars="200"/>
        <w:jc w:val="left"/>
        <w:rPr>
          <w:rFonts w:ascii="Arial" w:hAnsi="Arial" w:cs="Arial"/>
          <w:kern w:val="0"/>
          <w:sz w:val="24"/>
        </w:rPr>
      </w:pPr>
      <w:r>
        <w:rPr>
          <w:rFonts w:hint="eastAsia" w:ascii="Arial" w:hAnsi="宋体" w:cs="Arial"/>
          <w:kern w:val="0"/>
          <w:sz w:val="24"/>
        </w:rPr>
        <w:t>校准后，出具</w:t>
      </w:r>
      <w:r>
        <w:rPr>
          <w:rFonts w:ascii="Arial" w:hAnsi="宋体" w:cs="Arial"/>
          <w:kern w:val="0"/>
          <w:sz w:val="24"/>
        </w:rPr>
        <w:t>校准证书</w:t>
      </w:r>
      <w:r>
        <w:rPr>
          <w:rFonts w:hint="eastAsia" w:ascii="Arial" w:hAnsi="宋体" w:cs="Arial"/>
          <w:kern w:val="0"/>
          <w:sz w:val="24"/>
        </w:rPr>
        <w:t>，校准证书</w:t>
      </w:r>
      <w:r>
        <w:rPr>
          <w:rFonts w:ascii="Arial" w:hAnsi="宋体" w:cs="Arial"/>
          <w:kern w:val="0"/>
          <w:sz w:val="24"/>
        </w:rPr>
        <w:t>至少</w:t>
      </w:r>
      <w:r>
        <w:rPr>
          <w:rFonts w:hint="eastAsia" w:ascii="Arial" w:hAnsi="宋体" w:cs="Arial"/>
          <w:kern w:val="0"/>
          <w:sz w:val="24"/>
        </w:rPr>
        <w:t>应</w:t>
      </w:r>
      <w:r>
        <w:rPr>
          <w:rFonts w:ascii="Arial" w:hAnsi="宋体" w:cs="Arial"/>
          <w:kern w:val="0"/>
          <w:sz w:val="24"/>
        </w:rPr>
        <w:t>包括以下信息：</w:t>
      </w:r>
    </w:p>
    <w:p>
      <w:pPr>
        <w:autoSpaceDE w:val="0"/>
        <w:autoSpaceDN w:val="0"/>
        <w:adjustRightInd w:val="0"/>
        <w:snapToGrid w:val="0"/>
        <w:spacing w:line="360" w:lineRule="auto"/>
        <w:ind w:firstLine="480" w:firstLineChars="200"/>
        <w:jc w:val="left"/>
        <w:rPr>
          <w:rFonts w:ascii="Arial" w:hAnsi="Arial" w:cs="Arial"/>
          <w:kern w:val="0"/>
          <w:sz w:val="24"/>
        </w:rPr>
      </w:pPr>
      <w:r>
        <w:rPr>
          <w:rFonts w:hint="eastAsia" w:cs="Arial" w:asciiTheme="minorEastAsia" w:hAnsiTheme="minorEastAsia" w:eastAsiaTheme="minorEastAsia"/>
          <w:kern w:val="0"/>
          <w:sz w:val="24"/>
        </w:rPr>
        <w:t>1</w:t>
      </w:r>
      <w:r>
        <w:rPr>
          <w:rFonts w:cs="Arial" w:asciiTheme="minorEastAsia" w:hAnsiTheme="minorEastAsia" w:eastAsiaTheme="minorEastAsia"/>
          <w:kern w:val="0"/>
          <w:sz w:val="24"/>
        </w:rPr>
        <w:t>)</w:t>
      </w:r>
      <w:r>
        <w:rPr>
          <w:rFonts w:ascii="Arial" w:hAnsi="Arial" w:cs="Arial"/>
          <w:kern w:val="0"/>
          <w:sz w:val="24"/>
        </w:rPr>
        <w:t xml:space="preserve"> </w:t>
      </w:r>
      <w:r>
        <w:rPr>
          <w:rFonts w:ascii="Arial" w:hAnsi="宋体" w:cs="Arial"/>
          <w:kern w:val="0"/>
          <w:sz w:val="24"/>
        </w:rPr>
        <w:t>标题：校准</w:t>
      </w:r>
      <w:r>
        <w:rPr>
          <w:rFonts w:ascii="宋体" w:hAnsi="宋体" w:cs="Arial"/>
          <w:kern w:val="0"/>
          <w:sz w:val="24"/>
        </w:rPr>
        <w:t>证书</w:t>
      </w:r>
      <w:r>
        <w:rPr>
          <w:rFonts w:ascii="Arial" w:hAnsi="宋体" w:cs="Arial"/>
          <w:kern w:val="0"/>
          <w:sz w:val="24"/>
        </w:rPr>
        <w:t>；</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2</w:t>
      </w:r>
      <w:r>
        <w:rPr>
          <w:rFonts w:cs="Arial" w:asciiTheme="minorEastAsia" w:hAnsiTheme="minorEastAsia" w:eastAsiaTheme="minorEastAsia"/>
          <w:kern w:val="0"/>
          <w:sz w:val="24"/>
        </w:rPr>
        <w:t>) 实验室名称和地址；</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3</w:t>
      </w:r>
      <w:r>
        <w:rPr>
          <w:rFonts w:cs="Arial" w:asciiTheme="minorEastAsia" w:hAnsiTheme="minorEastAsia" w:eastAsiaTheme="minorEastAsia"/>
          <w:kern w:val="0"/>
          <w:sz w:val="24"/>
        </w:rPr>
        <w:t>) 进行校准的地点（如果与实验室的地址不同）；</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4</w:t>
      </w:r>
      <w:r>
        <w:rPr>
          <w:rFonts w:cs="Arial" w:asciiTheme="minorEastAsia" w:hAnsiTheme="minorEastAsia" w:eastAsiaTheme="minorEastAsia"/>
          <w:kern w:val="0"/>
          <w:sz w:val="24"/>
        </w:rPr>
        <w:t>) 证书</w:t>
      </w:r>
      <w:r>
        <w:rPr>
          <w:rFonts w:hint="eastAsia" w:cs="Arial" w:asciiTheme="minorEastAsia" w:hAnsiTheme="minorEastAsia" w:eastAsiaTheme="minorEastAsia"/>
          <w:kern w:val="0"/>
          <w:sz w:val="24"/>
        </w:rPr>
        <w:t>或报告</w:t>
      </w:r>
      <w:r>
        <w:rPr>
          <w:rFonts w:cs="Arial" w:asciiTheme="minorEastAsia" w:hAnsiTheme="minorEastAsia" w:eastAsiaTheme="minorEastAsia"/>
          <w:kern w:val="0"/>
          <w:sz w:val="24"/>
        </w:rPr>
        <w:t>的唯一性标识（如编号），每页及总页数的标识；</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5</w:t>
      </w:r>
      <w:r>
        <w:rPr>
          <w:rFonts w:cs="Arial" w:asciiTheme="minorEastAsia" w:hAnsiTheme="minorEastAsia" w:eastAsiaTheme="minorEastAsia"/>
          <w:kern w:val="0"/>
          <w:sz w:val="24"/>
        </w:rPr>
        <w:t>) 客户的名称和地址；</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6</w:t>
      </w:r>
      <w:r>
        <w:rPr>
          <w:rFonts w:cs="Arial" w:asciiTheme="minorEastAsia" w:hAnsiTheme="minorEastAsia" w:eastAsiaTheme="minorEastAsia"/>
          <w:kern w:val="0"/>
          <w:sz w:val="24"/>
        </w:rPr>
        <w:t>) 被校</w:t>
      </w:r>
      <w:r>
        <w:rPr>
          <w:rFonts w:hint="eastAsia" w:cs="Arial" w:asciiTheme="minorEastAsia" w:hAnsiTheme="minorEastAsia" w:eastAsiaTheme="minorEastAsia"/>
          <w:kern w:val="0"/>
          <w:sz w:val="24"/>
        </w:rPr>
        <w:t>对象</w:t>
      </w:r>
      <w:r>
        <w:rPr>
          <w:rFonts w:cs="Arial" w:asciiTheme="minorEastAsia" w:hAnsiTheme="minorEastAsia" w:eastAsiaTheme="minorEastAsia"/>
          <w:kern w:val="0"/>
          <w:sz w:val="24"/>
        </w:rPr>
        <w:t>的描述和明确标识；</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7</w:t>
      </w:r>
      <w:r>
        <w:rPr>
          <w:rFonts w:cs="Arial" w:asciiTheme="minorEastAsia" w:hAnsiTheme="minorEastAsia" w:eastAsiaTheme="minorEastAsia"/>
          <w:kern w:val="0"/>
          <w:sz w:val="24"/>
        </w:rPr>
        <w:t>) 进行校准的日期，如果与校准结果的有效性和应用有关时，应说明被校</w:t>
      </w:r>
      <w:r>
        <w:rPr>
          <w:rFonts w:hint="eastAsia" w:cs="Arial" w:asciiTheme="minorEastAsia" w:hAnsiTheme="minorEastAsia" w:eastAsiaTheme="minorEastAsia"/>
          <w:kern w:val="0"/>
          <w:sz w:val="24"/>
        </w:rPr>
        <w:t>对象</w:t>
      </w:r>
      <w:r>
        <w:rPr>
          <w:rFonts w:cs="Arial" w:asciiTheme="minorEastAsia" w:hAnsiTheme="minorEastAsia" w:eastAsiaTheme="minorEastAsia"/>
          <w:kern w:val="0"/>
          <w:sz w:val="24"/>
        </w:rPr>
        <w:t>的接收日期；</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8</w:t>
      </w:r>
      <w:r>
        <w:rPr>
          <w:rFonts w:cs="Arial" w:asciiTheme="minorEastAsia" w:hAnsiTheme="minorEastAsia" w:eastAsiaTheme="minorEastAsia"/>
          <w:kern w:val="0"/>
          <w:sz w:val="24"/>
        </w:rPr>
        <w:t xml:space="preserve">) </w:t>
      </w:r>
      <w:r>
        <w:rPr>
          <w:rFonts w:hint="eastAsia" w:cs="Arial" w:asciiTheme="minorEastAsia" w:hAnsiTheme="minorEastAsia" w:eastAsiaTheme="minorEastAsia"/>
          <w:kern w:val="0"/>
          <w:sz w:val="24"/>
        </w:rPr>
        <w:t>如果与校准结果的有效性应用有关时，应对被校对象的抽样程序进行说明；</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9</w:t>
      </w:r>
      <w:r>
        <w:rPr>
          <w:rFonts w:cs="Arial" w:asciiTheme="minorEastAsia" w:hAnsiTheme="minorEastAsia" w:eastAsiaTheme="minorEastAsia"/>
          <w:kern w:val="0"/>
          <w:sz w:val="24"/>
        </w:rPr>
        <w:t>) 校准所依据的技术规范的标识，包括名称及代号；</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10</w:t>
      </w:r>
      <w:r>
        <w:rPr>
          <w:rFonts w:cs="Arial" w:asciiTheme="minorEastAsia" w:hAnsiTheme="minorEastAsia" w:eastAsiaTheme="minorEastAsia"/>
          <w:kern w:val="0"/>
          <w:sz w:val="24"/>
        </w:rPr>
        <w:t>) 本次校准所用测量标准的溯源性及有效性说明；</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11</w:t>
      </w:r>
      <w:r>
        <w:rPr>
          <w:rFonts w:cs="Arial" w:asciiTheme="minorEastAsia" w:hAnsiTheme="minorEastAsia" w:eastAsiaTheme="minorEastAsia"/>
          <w:kern w:val="0"/>
          <w:sz w:val="24"/>
        </w:rPr>
        <w:t>) 校准环境的描述；</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12</w:t>
      </w:r>
      <w:r>
        <w:rPr>
          <w:rFonts w:cs="Arial" w:asciiTheme="minorEastAsia" w:hAnsiTheme="minorEastAsia" w:eastAsiaTheme="minorEastAsia"/>
          <w:kern w:val="0"/>
          <w:sz w:val="24"/>
        </w:rPr>
        <w:t>) 校准结果及其测量不确定度的说明；</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13</w:t>
      </w:r>
      <w:r>
        <w:rPr>
          <w:rFonts w:cs="Arial" w:asciiTheme="minorEastAsia" w:hAnsiTheme="minorEastAsia" w:eastAsiaTheme="minorEastAsia"/>
          <w:kern w:val="0"/>
          <w:sz w:val="24"/>
        </w:rPr>
        <w:t>)</w:t>
      </w:r>
      <w:r>
        <w:rPr>
          <w:rFonts w:hint="eastAsia" w:cs="Arial" w:asciiTheme="minorEastAsia" w:hAnsiTheme="minorEastAsia" w:eastAsiaTheme="minorEastAsia"/>
          <w:kern w:val="0"/>
          <w:sz w:val="24"/>
        </w:rPr>
        <w:t xml:space="preserve"> 对校准规范的偏离的说明；</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14</w:t>
      </w:r>
      <w:r>
        <w:rPr>
          <w:rFonts w:cs="Arial" w:asciiTheme="minorEastAsia" w:hAnsiTheme="minorEastAsia" w:eastAsiaTheme="minorEastAsia"/>
          <w:kern w:val="0"/>
          <w:sz w:val="24"/>
        </w:rPr>
        <w:t>) 校准证书或校准报告签发人的签名、职务或等效标识；</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 xml:space="preserve">15) </w:t>
      </w:r>
      <w:r>
        <w:rPr>
          <w:rFonts w:cs="Arial" w:asciiTheme="minorEastAsia" w:hAnsiTheme="minorEastAsia" w:eastAsiaTheme="minorEastAsia"/>
          <w:kern w:val="0"/>
          <w:sz w:val="24"/>
        </w:rPr>
        <w:t>校准结果仅对被校对象有效的声明；</w:t>
      </w:r>
    </w:p>
    <w:p>
      <w:pPr>
        <w:autoSpaceDE w:val="0"/>
        <w:autoSpaceDN w:val="0"/>
        <w:adjustRightInd w:val="0"/>
        <w:snapToGrid w:val="0"/>
        <w:spacing w:line="360" w:lineRule="auto"/>
        <w:ind w:firstLine="480" w:firstLineChars="200"/>
        <w:jc w:val="left"/>
        <w:rPr>
          <w:rFonts w:cs="Arial" w:asciiTheme="minorEastAsia" w:hAnsiTheme="minorEastAsia" w:eastAsiaTheme="minorEastAsia"/>
          <w:kern w:val="0"/>
          <w:sz w:val="24"/>
        </w:rPr>
      </w:pPr>
      <w:r>
        <w:rPr>
          <w:rFonts w:hint="eastAsia" w:cs="Arial" w:asciiTheme="minorEastAsia" w:hAnsiTheme="minorEastAsia" w:eastAsiaTheme="minorEastAsia"/>
          <w:kern w:val="0"/>
          <w:sz w:val="24"/>
        </w:rPr>
        <w:t xml:space="preserve">16) </w:t>
      </w:r>
      <w:r>
        <w:rPr>
          <w:rFonts w:cs="Arial" w:asciiTheme="minorEastAsia" w:hAnsiTheme="minorEastAsia" w:eastAsiaTheme="minorEastAsia"/>
          <w:kern w:val="0"/>
          <w:sz w:val="24"/>
        </w:rPr>
        <w:t>未经实验室书面批准，不得部分复制证书或报告的声明。</w:t>
      </w:r>
    </w:p>
    <w:p>
      <w:pPr>
        <w:pStyle w:val="21"/>
        <w:adjustRightInd w:val="0"/>
        <w:spacing w:before="120" w:after="120" w:line="360" w:lineRule="auto"/>
        <w:contextualSpacing/>
        <w:jc w:val="both"/>
        <w:rPr>
          <w:sz w:val="24"/>
          <w:szCs w:val="24"/>
        </w:rPr>
      </w:pPr>
      <w:bookmarkStart w:id="40" w:name="_Toc6403"/>
      <w:r>
        <w:rPr>
          <w:rFonts w:hint="eastAsia"/>
          <w:sz w:val="24"/>
          <w:szCs w:val="24"/>
        </w:rPr>
        <w:t>8</w:t>
      </w:r>
      <w:r>
        <w:rPr>
          <w:sz w:val="24"/>
          <w:szCs w:val="24"/>
        </w:rPr>
        <w:t>复校时间间隔</w:t>
      </w:r>
      <w:bookmarkEnd w:id="40"/>
    </w:p>
    <w:p>
      <w:pPr>
        <w:pStyle w:val="8"/>
        <w:adjustRightInd w:val="0"/>
        <w:snapToGrid w:val="0"/>
        <w:spacing w:line="360" w:lineRule="auto"/>
        <w:rPr>
          <w:rFonts w:ascii="宋体" w:hAnsi="宋体" w:eastAsia="宋体" w:cs="Arial"/>
          <w:kern w:val="0"/>
        </w:rPr>
      </w:pPr>
      <w:r>
        <w:rPr>
          <w:rFonts w:hint="eastAsia" w:ascii="宋体" w:hAnsi="宋体" w:eastAsia="宋体" w:cs="Arial"/>
        </w:rPr>
        <w:t>由于复校时间间隔的长短是由仪器的使用情况、使用者、仪器本身质量等诸多因素</w:t>
      </w:r>
      <w:r>
        <w:rPr>
          <w:rFonts w:hint="eastAsia" w:cs="Arial" w:asciiTheme="minorEastAsia" w:hAnsiTheme="minorEastAsia" w:eastAsiaTheme="minorEastAsia"/>
        </w:rPr>
        <w:t>决定的，因此，送校单位可根据实际使用情况自主决定复校时间间隔。建议复校时间间隔为</w:t>
      </w:r>
      <w:r>
        <w:rPr>
          <w:rFonts w:cs="Arial" w:asciiTheme="minorEastAsia" w:hAnsiTheme="minorEastAsia" w:eastAsiaTheme="minorEastAsia"/>
        </w:rPr>
        <w:t>1</w:t>
      </w:r>
      <w:r>
        <w:rPr>
          <w:rFonts w:hint="eastAsia" w:cs="Arial" w:asciiTheme="minorEastAsia" w:hAnsiTheme="minorEastAsia" w:eastAsiaTheme="minorEastAsia"/>
        </w:rPr>
        <w:t>年。</w:t>
      </w: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p>
    <w:p>
      <w:pPr>
        <w:pStyle w:val="21"/>
        <w:adjustRightInd w:val="0"/>
        <w:spacing w:before="120" w:after="120" w:line="360" w:lineRule="auto"/>
        <w:contextualSpacing/>
        <w:jc w:val="both"/>
        <w:rPr>
          <w:szCs w:val="28"/>
        </w:rPr>
      </w:pPr>
      <w:bookmarkStart w:id="41" w:name="_Toc4655"/>
      <w:r>
        <w:rPr>
          <w:szCs w:val="28"/>
        </w:rPr>
        <w:t>附录</w:t>
      </w:r>
      <w:r>
        <w:rPr>
          <w:rFonts w:hint="eastAsia"/>
          <w:szCs w:val="28"/>
        </w:rPr>
        <w:t>A</w:t>
      </w:r>
      <w:bookmarkEnd w:id="41"/>
    </w:p>
    <w:p>
      <w:pPr>
        <w:ind w:right="105"/>
        <w:jc w:val="center"/>
        <w:rPr>
          <w:rFonts w:ascii="黑体" w:eastAsia="黑体"/>
          <w:sz w:val="28"/>
          <w:szCs w:val="28"/>
        </w:rPr>
      </w:pPr>
    </w:p>
    <w:p>
      <w:pPr>
        <w:pStyle w:val="21"/>
        <w:adjustRightInd w:val="0"/>
        <w:spacing w:before="120" w:after="120" w:line="360" w:lineRule="auto"/>
        <w:contextualSpacing/>
        <w:rPr>
          <w:sz w:val="24"/>
          <w:szCs w:val="24"/>
        </w:rPr>
      </w:pPr>
      <w:bookmarkStart w:id="42" w:name="_Toc16431"/>
      <w:r>
        <w:rPr>
          <w:rFonts w:hint="eastAsia"/>
          <w:sz w:val="24"/>
          <w:szCs w:val="24"/>
        </w:rPr>
        <w:t>振动变送器校准接线图</w:t>
      </w:r>
      <w:bookmarkEnd w:id="42"/>
    </w:p>
    <w:p>
      <w:pPr>
        <w:spacing w:line="400" w:lineRule="exact"/>
      </w:pPr>
    </w:p>
    <w:p>
      <w:pPr>
        <w:spacing w:line="400" w:lineRule="exact"/>
      </w:pPr>
    </w:p>
    <w:p>
      <w:pPr>
        <w:spacing w:line="400" w:lineRule="exact"/>
      </w:pPr>
      <w:r>
        <w:rPr>
          <w:rFonts w:hint="eastAsia"/>
        </w:rPr>
        <w:t>A.1 二线制振动变送器（图A.1）</w:t>
      </w:r>
    </w:p>
    <w:p>
      <w:pPr>
        <w:spacing w:line="400" w:lineRule="exact"/>
      </w:pPr>
    </w:p>
    <w:p>
      <w:pPr>
        <w:spacing w:line="400" w:lineRule="exact"/>
      </w:pPr>
      <w:r>
        <w:pict>
          <v:shape id="对象 33706" o:spid="_x0000_s2033" o:spt="75" type="#_x0000_t75" style="position:absolute;left:0pt;margin-left:-35.5pt;margin-top:2.9pt;height:111.7pt;width:378.45pt;mso-wrap-distance-bottom:0pt;mso-wrap-distance-left:9pt;mso-wrap-distance-right:9pt;mso-wrap-distance-top:0pt;z-index:251666432;mso-width-relative:page;mso-height-relative:page;" o:ole="t" filled="f" o:preferrelative="t" stroked="f" coordsize="21600,21600">
            <v:path/>
            <v:fill on="f" focussize="0,0"/>
            <v:stroke on="f" joinstyle="miter"/>
            <v:imagedata r:id="rId59" o:title=""/>
            <o:lock v:ext="edit" aspectratio="f"/>
            <w10:wrap type="square"/>
          </v:shape>
          <o:OLEObject Type="Embed" ProgID="Visio.Drawing.11" ShapeID="对象 33706" DrawAspect="Content" ObjectID="_1468075747" r:id="rId58">
            <o:LockedField>false</o:LockedField>
          </o:OLEObject>
        </w:pict>
      </w: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jc w:val="center"/>
      </w:pPr>
    </w:p>
    <w:p>
      <w:pPr>
        <w:spacing w:line="400" w:lineRule="exact"/>
        <w:jc w:val="center"/>
      </w:pPr>
      <w:r>
        <w:rPr>
          <w:rFonts w:hint="eastAsia"/>
        </w:rPr>
        <w:t>图A.1   二线制振动变送器接线</w:t>
      </w:r>
    </w:p>
    <w:p>
      <w:pPr>
        <w:spacing w:line="400" w:lineRule="exact"/>
        <w:jc w:val="center"/>
      </w:pPr>
    </w:p>
    <w:p>
      <w:pPr>
        <w:spacing w:line="400" w:lineRule="exact"/>
      </w:pPr>
      <w:r>
        <w:rPr>
          <w:rFonts w:hint="eastAsia"/>
        </w:rPr>
        <w:t>.A.2 三线制振动变送器（图A.2）</w:t>
      </w:r>
    </w:p>
    <w:p>
      <w:pPr>
        <w:spacing w:line="400" w:lineRule="exact"/>
      </w:pPr>
      <w:r>
        <w:pict>
          <v:shape id="对象 33708" o:spid="_x0000_s2034" o:spt="75" type="#_x0000_t75" style="position:absolute;left:0pt;margin-left:-31.3pt;margin-top:4.3pt;height:119.25pt;width:374.4pt;mso-wrap-distance-bottom:0pt;mso-wrap-distance-left:9pt;mso-wrap-distance-right:9pt;mso-wrap-distance-top:0pt;z-index:251667456;mso-width-relative:page;mso-height-relative:page;" o:ole="t" filled="f" o:preferrelative="t" stroked="f" coordsize="21600,21600">
            <v:path/>
            <v:fill on="f" focussize="0,0"/>
            <v:stroke on="f" joinstyle="miter"/>
            <v:imagedata r:id="rId61" o:title=""/>
            <o:lock v:ext="edit" aspectratio="f"/>
            <w10:wrap type="square"/>
          </v:shape>
          <o:OLEObject Type="Embed" ProgID="Visio.Drawing.11" ShapeID="对象 33708" DrawAspect="Content" ObjectID="_1468075748" r:id="rId60">
            <o:LockedField>false</o:LockedField>
          </o:OLEObject>
        </w:pict>
      </w: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jc w:val="center"/>
      </w:pPr>
      <w:r>
        <w:rPr>
          <w:rFonts w:hint="eastAsia"/>
        </w:rPr>
        <w:t>图A.2   三线制振动变送器接线</w:t>
      </w:r>
    </w:p>
    <w:p>
      <w:pPr>
        <w:spacing w:line="400" w:lineRule="exact"/>
      </w:pPr>
    </w:p>
    <w:p>
      <w:pPr>
        <w:spacing w:line="360" w:lineRule="auto"/>
        <w:ind w:left="120" w:leftChars="57" w:firstLine="315" w:firstLineChars="150"/>
        <w:jc w:val="left"/>
      </w:pPr>
    </w:p>
    <w:p>
      <w:pPr>
        <w:pStyle w:val="21"/>
        <w:adjustRightInd w:val="0"/>
        <w:spacing w:before="120" w:after="120" w:line="360" w:lineRule="auto"/>
        <w:contextualSpacing/>
        <w:jc w:val="both"/>
        <w:rPr>
          <w:rFonts w:ascii="黑体" w:hAnsi="黑体"/>
          <w:szCs w:val="28"/>
        </w:rPr>
      </w:pPr>
    </w:p>
    <w:p>
      <w:pPr>
        <w:pStyle w:val="21"/>
        <w:adjustRightInd w:val="0"/>
        <w:spacing w:before="120" w:after="120" w:line="360" w:lineRule="auto"/>
        <w:contextualSpacing/>
        <w:jc w:val="both"/>
        <w:rPr>
          <w:rFonts w:ascii="黑体" w:hAnsi="黑体"/>
          <w:szCs w:val="28"/>
        </w:rPr>
      </w:pPr>
    </w:p>
    <w:p>
      <w:pPr>
        <w:pStyle w:val="21"/>
        <w:adjustRightInd w:val="0"/>
        <w:spacing w:before="120" w:after="120" w:line="360" w:lineRule="auto"/>
        <w:contextualSpacing/>
        <w:jc w:val="both"/>
        <w:rPr>
          <w:rFonts w:ascii="黑体" w:hAnsi="黑体"/>
          <w:szCs w:val="28"/>
        </w:rPr>
      </w:pPr>
      <w:bookmarkStart w:id="43" w:name="_Toc5717"/>
      <w:r>
        <w:rPr>
          <w:rFonts w:ascii="黑体" w:hAnsi="黑体"/>
          <w:szCs w:val="28"/>
        </w:rPr>
        <w:t>附录</w:t>
      </w:r>
      <w:r>
        <w:rPr>
          <w:rFonts w:hint="eastAsia" w:ascii="黑体" w:hAnsi="黑体"/>
          <w:szCs w:val="28"/>
        </w:rPr>
        <w:t>B</w:t>
      </w:r>
      <w:bookmarkEnd w:id="43"/>
    </w:p>
    <w:p>
      <w:pPr>
        <w:pStyle w:val="21"/>
        <w:adjustRightInd w:val="0"/>
        <w:spacing w:before="120" w:after="120" w:line="360" w:lineRule="auto"/>
        <w:contextualSpacing/>
        <w:rPr>
          <w:szCs w:val="28"/>
        </w:rPr>
      </w:pPr>
      <w:bookmarkStart w:id="44" w:name="_Toc11618"/>
      <w:r>
        <w:rPr>
          <w:rFonts w:hint="eastAsia" w:ascii="黑体"/>
          <w:szCs w:val="28"/>
        </w:rPr>
        <w:t>振动变送器</w:t>
      </w:r>
      <w:r>
        <w:rPr>
          <w:szCs w:val="28"/>
        </w:rPr>
        <w:t>校准记录</w:t>
      </w:r>
      <w:bookmarkEnd w:id="44"/>
    </w:p>
    <w:p>
      <w:pPr>
        <w:spacing w:before="156" w:beforeLines="50" w:after="156" w:afterLines="50" w:line="360" w:lineRule="auto"/>
        <w:ind w:left="-178" w:leftChars="-85" w:right="-147" w:rightChars="-70"/>
        <w:rPr>
          <w:rFonts w:ascii="宋体" w:hAnsi="宋体" w:cs="宋体"/>
          <w:sz w:val="24"/>
          <w:u w:val="single"/>
        </w:rPr>
      </w:pPr>
      <w:r>
        <w:rPr>
          <w:rFonts w:hint="eastAsia" w:ascii="宋体" w:hAnsi="宋体" w:cs="宋体"/>
          <w:sz w:val="24"/>
        </w:rPr>
        <w:t>送校单位</w:t>
      </w:r>
      <w:r>
        <w:rPr>
          <w:rFonts w:hint="eastAsia" w:ascii="宋体" w:hAnsi="宋体" w:cs="宋体"/>
          <w:sz w:val="24"/>
          <w:u w:val="single"/>
        </w:rPr>
        <w:t>　　　　                    　</w:t>
      </w:r>
      <w:r>
        <w:rPr>
          <w:rFonts w:hint="eastAsia" w:ascii="宋体" w:hAnsi="宋体" w:cs="宋体"/>
          <w:sz w:val="24"/>
        </w:rPr>
        <w:t>型号</w:t>
      </w:r>
      <w:r>
        <w:rPr>
          <w:rFonts w:ascii="宋体" w:hAnsi="宋体" w:cs="宋体"/>
          <w:sz w:val="24"/>
        </w:rPr>
        <w:t>/</w:t>
      </w:r>
      <w:r>
        <w:rPr>
          <w:rFonts w:hint="eastAsia" w:ascii="宋体" w:hAnsi="宋体" w:cs="宋体"/>
          <w:sz w:val="24"/>
        </w:rPr>
        <w:t>规格</w:t>
      </w:r>
      <w:r>
        <w:rPr>
          <w:rFonts w:hint="eastAsia" w:ascii="宋体" w:hAnsi="宋体" w:cs="宋体"/>
          <w:sz w:val="24"/>
          <w:u w:val="single"/>
        </w:rPr>
        <w:t>　          　</w:t>
      </w:r>
      <w:r>
        <w:rPr>
          <w:rFonts w:hint="eastAsia" w:ascii="宋体" w:hAnsi="宋体" w:cs="宋体"/>
          <w:sz w:val="24"/>
        </w:rPr>
        <w:t>出厂编号</w:t>
      </w:r>
      <w:r>
        <w:rPr>
          <w:rFonts w:hint="eastAsia" w:ascii="宋体" w:hAnsi="宋体" w:cs="宋体"/>
          <w:sz w:val="24"/>
          <w:u w:val="single"/>
        </w:rPr>
        <w:t xml:space="preserve">         </w:t>
      </w:r>
    </w:p>
    <w:p>
      <w:pPr>
        <w:spacing w:before="156" w:beforeLines="50" w:after="156" w:afterLines="50" w:line="360" w:lineRule="auto"/>
        <w:ind w:left="-178" w:leftChars="-85" w:right="-147" w:rightChars="-70"/>
        <w:rPr>
          <w:rFonts w:ascii="宋体" w:hAnsi="宋体" w:cs="宋体"/>
          <w:sz w:val="24"/>
          <w:u w:val="single"/>
        </w:rPr>
      </w:pPr>
      <w:r>
        <w:rPr>
          <w:rFonts w:hint="eastAsia" w:ascii="宋体" w:hAnsi="宋体" w:cs="宋体"/>
          <w:sz w:val="24"/>
        </w:rPr>
        <w:t>制造厂</w:t>
      </w:r>
      <w:r>
        <w:rPr>
          <w:rFonts w:hint="eastAsia" w:ascii="宋体" w:hAnsi="宋体" w:cs="宋体"/>
          <w:sz w:val="24"/>
          <w:u w:val="single"/>
        </w:rPr>
        <w:t xml:space="preserve">　　　　　     </w:t>
      </w:r>
      <w:r>
        <w:rPr>
          <w:rFonts w:hint="eastAsia" w:ascii="宋体" w:hAnsi="宋体" w:cs="宋体"/>
          <w:sz w:val="24"/>
        </w:rPr>
        <w:t>校准依据</w:t>
      </w:r>
      <w:r>
        <w:rPr>
          <w:rFonts w:hint="eastAsia" w:ascii="宋体" w:hAnsi="宋体" w:cs="宋体"/>
          <w:sz w:val="24"/>
          <w:u w:val="single"/>
        </w:rPr>
        <w:t xml:space="preserve">         </w:t>
      </w:r>
      <w:r>
        <w:rPr>
          <w:rFonts w:hint="eastAsia" w:ascii="宋体" w:hAnsi="宋体" w:cs="宋体"/>
          <w:sz w:val="24"/>
        </w:rPr>
        <w:t>测量标准名称</w:t>
      </w:r>
      <w:r>
        <w:rPr>
          <w:rFonts w:hint="eastAsia" w:ascii="宋体" w:hAnsi="宋体" w:cs="宋体"/>
          <w:sz w:val="24"/>
          <w:u w:val="single"/>
        </w:rPr>
        <w:t>　　　　　</w:t>
      </w:r>
      <w:r>
        <w:rPr>
          <w:rFonts w:hint="eastAsia" w:ascii="宋体" w:hAnsi="宋体" w:cs="宋体"/>
          <w:sz w:val="24"/>
        </w:rPr>
        <w:t>测量标准型号</w:t>
      </w:r>
      <w:r>
        <w:rPr>
          <w:rFonts w:hint="eastAsia" w:ascii="宋体" w:hAnsi="宋体" w:cs="宋体"/>
          <w:sz w:val="24"/>
          <w:u w:val="single"/>
        </w:rPr>
        <w:t>　　　　　  　　</w:t>
      </w:r>
    </w:p>
    <w:p>
      <w:pPr>
        <w:spacing w:before="156" w:beforeLines="50" w:after="156" w:afterLines="50" w:line="360" w:lineRule="auto"/>
        <w:ind w:left="-178" w:leftChars="-85" w:right="-147" w:rightChars="-70"/>
        <w:rPr>
          <w:rFonts w:ascii="宋体" w:hAnsi="宋体" w:cs="宋体"/>
          <w:sz w:val="24"/>
          <w:u w:val="single"/>
        </w:rPr>
      </w:pPr>
      <w:r>
        <w:rPr>
          <w:rFonts w:hint="eastAsia" w:ascii="宋体" w:hAnsi="宋体" w:cs="宋体"/>
          <w:sz w:val="24"/>
        </w:rPr>
        <w:t>测量标准编号</w:t>
      </w:r>
      <w:r>
        <w:rPr>
          <w:rFonts w:hint="eastAsia" w:ascii="宋体" w:hAnsi="宋体" w:cs="宋体"/>
          <w:sz w:val="24"/>
          <w:u w:val="single"/>
        </w:rPr>
        <w:t>　　　　　　</w:t>
      </w:r>
      <w:r>
        <w:rPr>
          <w:rFonts w:hint="eastAsia" w:ascii="宋体" w:hAnsi="宋体" w:cs="宋体"/>
          <w:sz w:val="24"/>
        </w:rPr>
        <w:t>标准测量范围</w:t>
      </w:r>
      <w:r>
        <w:rPr>
          <w:rFonts w:hint="eastAsia" w:ascii="宋体" w:hAnsi="宋体" w:cs="宋体"/>
          <w:sz w:val="24"/>
          <w:u w:val="single"/>
        </w:rPr>
        <w:t xml:space="preserve">           </w:t>
      </w:r>
      <w:r>
        <w:rPr>
          <w:rFonts w:hint="eastAsia" w:ascii="宋体" w:hAnsi="宋体" w:cs="宋体"/>
          <w:sz w:val="24"/>
        </w:rPr>
        <w:t>测量设备准确度等级或不确定度或最大允许误差</w:t>
      </w:r>
      <w:r>
        <w:rPr>
          <w:rFonts w:hint="eastAsia" w:ascii="宋体" w:hAnsi="宋体" w:cs="宋体"/>
          <w:sz w:val="24"/>
          <w:u w:val="single"/>
        </w:rPr>
        <w:t xml:space="preserve">         　 </w:t>
      </w:r>
      <w:r>
        <w:rPr>
          <w:rFonts w:hint="eastAsia" w:ascii="宋体" w:hAnsi="宋体" w:cs="宋体"/>
          <w:sz w:val="24"/>
        </w:rPr>
        <w:t>测量标准证书号及有效期</w:t>
      </w:r>
      <w:r>
        <w:rPr>
          <w:rFonts w:hint="eastAsia" w:ascii="宋体" w:hAnsi="宋体" w:cs="宋体"/>
          <w:sz w:val="24"/>
          <w:u w:val="single"/>
        </w:rPr>
        <w:t xml:space="preserve">                                                        </w:t>
      </w:r>
    </w:p>
    <w:p>
      <w:pPr>
        <w:spacing w:before="156" w:beforeLines="50" w:after="156" w:afterLines="50" w:line="360" w:lineRule="auto"/>
        <w:ind w:left="-178" w:leftChars="-85" w:right="-147" w:rightChars="-70"/>
        <w:rPr>
          <w:rFonts w:ascii="宋体" w:cs="宋体"/>
          <w:sz w:val="24"/>
        </w:rPr>
      </w:pPr>
      <w:r>
        <w:rPr>
          <w:rFonts w:hint="eastAsia" w:ascii="宋体" w:hAnsi="宋体" w:cs="宋体"/>
          <w:sz w:val="24"/>
        </w:rPr>
        <w:t>校准地点</w:t>
      </w:r>
      <w:r>
        <w:rPr>
          <w:rFonts w:hint="eastAsia" w:ascii="宋体" w:hAnsi="宋体" w:cs="宋体"/>
          <w:sz w:val="24"/>
          <w:u w:val="single"/>
        </w:rPr>
        <w:t>　　　          　</w:t>
      </w:r>
      <w:r>
        <w:rPr>
          <w:rFonts w:hint="eastAsia" w:ascii="宋体" w:hAnsi="宋体" w:cs="宋体"/>
          <w:sz w:val="24"/>
        </w:rPr>
        <w:t>温度</w:t>
      </w:r>
      <w:r>
        <w:rPr>
          <w:rFonts w:hint="eastAsia" w:ascii="宋体" w:hAnsi="宋体" w:cs="宋体"/>
          <w:sz w:val="24"/>
          <w:u w:val="single"/>
        </w:rPr>
        <w:t>　 　</w:t>
      </w:r>
      <w:r>
        <w:rPr>
          <w:rFonts w:hint="eastAsia" w:ascii="宋体" w:hAnsi="宋体" w:cs="宋体"/>
          <w:sz w:val="24"/>
        </w:rPr>
        <w:t>℃ 相对湿度</w:t>
      </w:r>
      <w:r>
        <w:rPr>
          <w:rFonts w:hint="eastAsia" w:ascii="宋体" w:hAnsi="宋体" w:cs="宋体"/>
          <w:sz w:val="24"/>
          <w:u w:val="single"/>
        </w:rPr>
        <w:t xml:space="preserve">     </w:t>
      </w:r>
      <w:r>
        <w:rPr>
          <w:rFonts w:hint="eastAsia" w:ascii="宋体" w:hAnsi="宋体" w:cs="宋体"/>
          <w:sz w:val="24"/>
        </w:rPr>
        <w:t>％ 工作原理</w:t>
      </w:r>
      <w:r>
        <w:rPr>
          <w:rFonts w:hint="eastAsia" w:ascii="宋体" w:hAnsi="宋体" w:cs="宋体"/>
          <w:sz w:val="24"/>
          <w:u w:val="single"/>
        </w:rPr>
        <w:t>□压电式　□其他</w:t>
      </w:r>
    </w:p>
    <w:p>
      <w:pPr>
        <w:spacing w:line="300" w:lineRule="auto"/>
        <w:rPr>
          <w:rFonts w:ascii="宋体" w:hAnsi="宋体"/>
          <w:sz w:val="24"/>
        </w:rPr>
      </w:pPr>
      <w:r>
        <w:rPr>
          <w:rFonts w:hint="eastAsia" w:ascii="黑体" w:eastAsia="黑体"/>
          <w:szCs w:val="21"/>
        </w:rPr>
        <w:t>1</w:t>
      </w:r>
      <w:r>
        <w:rPr>
          <w:rFonts w:hint="eastAsia" w:ascii="宋体" w:hAnsi="宋体"/>
          <w:sz w:val="24"/>
        </w:rPr>
        <w:t>．频率响应：（参考点：</w:t>
      </w:r>
      <w:r>
        <w:rPr>
          <w:rFonts w:hint="eastAsia" w:ascii="宋体" w:hAnsi="宋体"/>
          <w:sz w:val="24"/>
          <w:u w:val="single"/>
        </w:rPr>
        <w:t xml:space="preserve">     </w:t>
      </w:r>
      <w:r>
        <w:rPr>
          <w:rFonts w:hint="eastAsia" w:ascii="宋体" w:hAnsi="宋体"/>
          <w:sz w:val="24"/>
        </w:rPr>
        <w:t xml:space="preserve">  Hz, </w:t>
      </w:r>
      <w:r>
        <w:rPr>
          <w:rFonts w:hint="eastAsia" w:ascii="宋体" w:hAnsi="宋体"/>
          <w:sz w:val="24"/>
          <w:u w:val="single"/>
        </w:rPr>
        <w:t xml:space="preserve">      </w:t>
      </w:r>
      <w:r>
        <w:rPr>
          <w:rFonts w:hint="eastAsia" w:ascii="宋体" w:hAnsi="宋体"/>
          <w:sz w:val="24"/>
        </w:rPr>
        <w:t xml:space="preserve"> mm/s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01"/>
        <w:gridCol w:w="1842"/>
        <w:gridCol w:w="1701"/>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19" w:type="dxa"/>
            <w:vAlign w:val="center"/>
          </w:tcPr>
          <w:p>
            <w:pPr>
              <w:spacing w:line="360" w:lineRule="auto"/>
              <w:jc w:val="center"/>
              <w:rPr>
                <w:rFonts w:ascii="宋体" w:hAnsi="宋体"/>
                <w:szCs w:val="21"/>
              </w:rPr>
            </w:pPr>
            <w:r>
              <w:rPr>
                <w:rFonts w:hint="eastAsia" w:ascii="宋体" w:hAnsi="宋体"/>
                <w:szCs w:val="21"/>
              </w:rPr>
              <w:t>频率（Hz）</w:t>
            </w:r>
          </w:p>
        </w:tc>
        <w:tc>
          <w:tcPr>
            <w:tcW w:w="1701" w:type="dxa"/>
            <w:vAlign w:val="center"/>
          </w:tcPr>
          <w:p>
            <w:pPr>
              <w:spacing w:line="360" w:lineRule="auto"/>
              <w:jc w:val="center"/>
              <w:rPr>
                <w:rFonts w:ascii="宋体" w:hAnsi="宋体"/>
                <w:szCs w:val="21"/>
              </w:rPr>
            </w:pPr>
            <w:r>
              <w:rPr>
                <w:rFonts w:hint="eastAsia" w:ascii="宋体" w:hAnsi="宋体"/>
                <w:szCs w:val="21"/>
              </w:rPr>
              <w:t>标准振幅（  ）</w:t>
            </w:r>
          </w:p>
        </w:tc>
        <w:tc>
          <w:tcPr>
            <w:tcW w:w="1842" w:type="dxa"/>
            <w:vAlign w:val="center"/>
          </w:tcPr>
          <w:p>
            <w:pPr>
              <w:spacing w:line="360" w:lineRule="auto"/>
              <w:jc w:val="center"/>
              <w:rPr>
                <w:rFonts w:ascii="宋体" w:hAnsi="宋体"/>
                <w:szCs w:val="21"/>
              </w:rPr>
            </w:pPr>
            <w:r>
              <w:rPr>
                <w:rFonts w:hint="eastAsia" w:ascii="宋体" w:hAnsi="宋体"/>
                <w:szCs w:val="21"/>
              </w:rPr>
              <w:t>输出测量值（  ）</w:t>
            </w:r>
          </w:p>
        </w:tc>
        <w:tc>
          <w:tcPr>
            <w:tcW w:w="1701" w:type="dxa"/>
            <w:vAlign w:val="center"/>
          </w:tcPr>
          <w:p>
            <w:pPr>
              <w:spacing w:line="360" w:lineRule="auto"/>
              <w:jc w:val="center"/>
              <w:rPr>
                <w:rFonts w:ascii="宋体" w:hAnsi="宋体"/>
                <w:szCs w:val="21"/>
              </w:rPr>
            </w:pPr>
            <w:r>
              <w:rPr>
                <w:rFonts w:hint="eastAsia" w:ascii="宋体" w:hAnsi="宋体"/>
                <w:szCs w:val="21"/>
              </w:rPr>
              <w:t>相对误差（%）</w:t>
            </w:r>
          </w:p>
        </w:tc>
        <w:tc>
          <w:tcPr>
            <w:tcW w:w="2325" w:type="dxa"/>
            <w:vAlign w:val="center"/>
          </w:tcPr>
          <w:p>
            <w:pPr>
              <w:spacing w:line="360" w:lineRule="auto"/>
              <w:rPr>
                <w:rFonts w:ascii="宋体" w:hAnsi="宋体"/>
                <w:szCs w:val="21"/>
              </w:rPr>
            </w:pPr>
            <w:r>
              <w:rPr>
                <w:rFonts w:hint="eastAsia" w:ascii="宋体"/>
                <w:szCs w:val="21"/>
              </w:rPr>
              <w:t>扩展不确定度</w:t>
            </w:r>
            <w:r>
              <w:rPr>
                <w:rFonts w:hint="eastAsia" w:ascii="宋体"/>
                <w:i/>
                <w:szCs w:val="21"/>
              </w:rPr>
              <w:t>U/k</w:t>
            </w:r>
            <w:r>
              <w:rPr>
                <w:rFonts w:hint="eastAsia" w:asci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19" w:type="dxa"/>
            <w:vAlign w:val="center"/>
          </w:tcPr>
          <w:p>
            <w:pPr>
              <w:spacing w:line="360" w:lineRule="auto"/>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bl>
    <w:p>
      <w:pPr>
        <w:spacing w:line="300" w:lineRule="auto"/>
        <w:rPr>
          <w:rFonts w:ascii="宋体" w:hAnsi="宋体"/>
          <w:sz w:val="24"/>
        </w:rPr>
      </w:pPr>
      <w:r>
        <w:rPr>
          <w:rFonts w:hint="eastAsia" w:ascii="宋体" w:hAnsi="宋体"/>
          <w:sz w:val="24"/>
        </w:rPr>
        <w:t>2．幅值线性度：频率为_________Hz。</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01"/>
        <w:gridCol w:w="1842"/>
        <w:gridCol w:w="1701"/>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19" w:type="dxa"/>
            <w:vAlign w:val="center"/>
          </w:tcPr>
          <w:p>
            <w:pPr>
              <w:spacing w:line="360" w:lineRule="auto"/>
              <w:jc w:val="center"/>
              <w:rPr>
                <w:rFonts w:ascii="宋体" w:hAnsi="宋体"/>
                <w:szCs w:val="21"/>
              </w:rPr>
            </w:pPr>
            <w:r>
              <w:rPr>
                <w:rFonts w:hint="eastAsia" w:ascii="宋体" w:hAnsi="宋体"/>
                <w:szCs w:val="21"/>
              </w:rPr>
              <w:t>标准振幅（  ）</w:t>
            </w:r>
          </w:p>
        </w:tc>
        <w:tc>
          <w:tcPr>
            <w:tcW w:w="1701" w:type="dxa"/>
            <w:vAlign w:val="center"/>
          </w:tcPr>
          <w:p>
            <w:pPr>
              <w:spacing w:line="360" w:lineRule="auto"/>
              <w:jc w:val="center"/>
              <w:rPr>
                <w:rFonts w:ascii="宋体" w:hAnsi="宋体"/>
                <w:szCs w:val="21"/>
              </w:rPr>
            </w:pPr>
            <w:r>
              <w:rPr>
                <w:rFonts w:hint="eastAsia" w:ascii="宋体" w:hAnsi="宋体"/>
                <w:szCs w:val="21"/>
              </w:rPr>
              <w:t>理论输出值（  ）</w:t>
            </w:r>
          </w:p>
        </w:tc>
        <w:tc>
          <w:tcPr>
            <w:tcW w:w="1842" w:type="dxa"/>
            <w:vAlign w:val="center"/>
          </w:tcPr>
          <w:p>
            <w:pPr>
              <w:spacing w:line="360" w:lineRule="auto"/>
              <w:jc w:val="center"/>
              <w:rPr>
                <w:rFonts w:ascii="宋体" w:hAnsi="宋体"/>
                <w:szCs w:val="21"/>
              </w:rPr>
            </w:pPr>
            <w:r>
              <w:rPr>
                <w:rFonts w:hint="eastAsia" w:ascii="宋体" w:hAnsi="宋体"/>
                <w:szCs w:val="21"/>
              </w:rPr>
              <w:t>输出测量值（  ）</w:t>
            </w:r>
          </w:p>
        </w:tc>
        <w:tc>
          <w:tcPr>
            <w:tcW w:w="1701" w:type="dxa"/>
            <w:vAlign w:val="center"/>
          </w:tcPr>
          <w:p>
            <w:pPr>
              <w:spacing w:line="360" w:lineRule="auto"/>
              <w:jc w:val="center"/>
              <w:rPr>
                <w:rFonts w:ascii="宋体" w:hAnsi="宋体"/>
                <w:szCs w:val="21"/>
              </w:rPr>
            </w:pPr>
            <w:r>
              <w:rPr>
                <w:rFonts w:hint="eastAsia" w:ascii="宋体" w:hAnsi="宋体"/>
                <w:szCs w:val="21"/>
              </w:rPr>
              <w:t>偏差（%）</w:t>
            </w:r>
          </w:p>
        </w:tc>
        <w:tc>
          <w:tcPr>
            <w:tcW w:w="2325" w:type="dxa"/>
            <w:vAlign w:val="center"/>
          </w:tcPr>
          <w:p>
            <w:pPr>
              <w:spacing w:line="360" w:lineRule="auto"/>
              <w:jc w:val="center"/>
              <w:rPr>
                <w:rFonts w:ascii="宋体" w:hAnsi="宋体"/>
                <w:szCs w:val="21"/>
              </w:rPr>
            </w:pPr>
            <w:r>
              <w:rPr>
                <w:rFonts w:hint="eastAsia" w:ascii="宋体"/>
                <w:szCs w:val="21"/>
              </w:rPr>
              <w:t>扩展不确定度</w:t>
            </w:r>
            <w:r>
              <w:rPr>
                <w:rFonts w:hint="eastAsia" w:ascii="宋体"/>
                <w:i/>
                <w:szCs w:val="21"/>
              </w:rPr>
              <w:t>U/k</w:t>
            </w:r>
            <w:r>
              <w:rPr>
                <w:rFonts w:hint="eastAsia" w:asci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619"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84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2325"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9188" w:type="dxa"/>
            <w:gridSpan w:val="5"/>
            <w:vAlign w:val="center"/>
          </w:tcPr>
          <w:p>
            <w:pPr>
              <w:spacing w:line="360" w:lineRule="auto"/>
              <w:rPr>
                <w:rFonts w:ascii="宋体" w:hAnsi="宋体"/>
                <w:szCs w:val="21"/>
              </w:rPr>
            </w:pPr>
            <w:r>
              <w:rPr>
                <w:rFonts w:hint="eastAsia" w:ascii="宋体" w:hAnsi="宋体"/>
                <w:szCs w:val="21"/>
              </w:rPr>
              <w:t>幅值线性度为</w:t>
            </w:r>
            <w:r>
              <w:rPr>
                <w:rFonts w:hint="eastAsia" w:ascii="宋体" w:hAnsi="宋体"/>
                <w:szCs w:val="21"/>
                <w:u w:val="single"/>
              </w:rPr>
              <w:t xml:space="preserve">          </w:t>
            </w:r>
            <w:r>
              <w:rPr>
                <w:rFonts w:hint="eastAsia" w:ascii="宋体" w:hAnsi="宋体"/>
                <w:szCs w:val="21"/>
              </w:rPr>
              <w:t>回归直线方程：</w:t>
            </w:r>
            <w:r>
              <w:rPr>
                <w:rFonts w:hint="eastAsia" w:ascii="宋体" w:hAnsi="宋体"/>
                <w:szCs w:val="21"/>
                <w:u w:val="single"/>
              </w:rPr>
              <w:t xml:space="preserve">                                     </w:t>
            </w:r>
            <w:r>
              <w:rPr>
                <w:rFonts w:hint="eastAsia" w:ascii="宋体" w:hAnsi="宋体"/>
                <w:szCs w:val="21"/>
              </w:rPr>
              <w:t>。</w:t>
            </w:r>
          </w:p>
        </w:tc>
      </w:tr>
    </w:tbl>
    <w:p>
      <w:pPr>
        <w:spacing w:before="156" w:beforeLines="50" w:after="156" w:afterLines="50" w:line="360" w:lineRule="auto"/>
        <w:rPr>
          <w:rFonts w:ascii="宋体" w:cs="宋体"/>
          <w:strike/>
          <w:color w:val="FF0000"/>
          <w:sz w:val="24"/>
        </w:rPr>
      </w:pPr>
      <w:r>
        <w:rPr>
          <w:rFonts w:hint="eastAsia" w:ascii="宋体" w:hAnsi="宋体" w:cs="宋体"/>
          <w:sz w:val="24"/>
        </w:rPr>
        <w:t>校准证书号</w:t>
      </w:r>
      <w:r>
        <w:rPr>
          <w:rFonts w:hint="eastAsia" w:ascii="宋体" w:hAnsi="宋体" w:cs="宋体"/>
          <w:sz w:val="24"/>
          <w:u w:val="single"/>
        </w:rPr>
        <w:t xml:space="preserve">               </w:t>
      </w:r>
      <w:r>
        <w:rPr>
          <w:rFonts w:hint="eastAsia" w:ascii="宋体" w:hAnsi="宋体" w:cs="宋体"/>
          <w:sz w:val="24"/>
        </w:rPr>
        <w:t>校准员</w:t>
      </w:r>
      <w:r>
        <w:rPr>
          <w:rFonts w:hint="eastAsia" w:ascii="宋体" w:hAnsi="宋体" w:cs="宋体"/>
          <w:sz w:val="24"/>
          <w:u w:val="single"/>
        </w:rPr>
        <w:t>　　　　</w:t>
      </w:r>
      <w:r>
        <w:rPr>
          <w:rFonts w:hint="eastAsia" w:ascii="宋体" w:hAnsi="宋体" w:cs="宋体"/>
          <w:sz w:val="24"/>
        </w:rPr>
        <w:t>核验员</w:t>
      </w:r>
      <w:r>
        <w:rPr>
          <w:rFonts w:hint="eastAsia" w:ascii="宋体" w:hAnsi="宋体" w:cs="宋体"/>
          <w:sz w:val="24"/>
          <w:u w:val="single"/>
        </w:rPr>
        <w:t>　　　　</w:t>
      </w:r>
      <w:r>
        <w:rPr>
          <w:rFonts w:hint="eastAsia" w:ascii="宋体" w:hAnsi="宋体" w:cs="宋体"/>
          <w:sz w:val="24"/>
        </w:rPr>
        <w:t>校准日期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21"/>
        <w:adjustRightInd w:val="0"/>
        <w:spacing w:before="120" w:after="120" w:line="360" w:lineRule="auto"/>
        <w:contextualSpacing/>
        <w:jc w:val="both"/>
        <w:rPr>
          <w:rFonts w:ascii="Arial" w:hAnsi="Arial" w:cs="Arial"/>
          <w:sz w:val="24"/>
          <w:szCs w:val="24"/>
        </w:rPr>
      </w:pPr>
      <w:r>
        <w:rPr>
          <w:rFonts w:ascii="Arial" w:hAnsi="Arial" w:cs="Arial"/>
        </w:rPr>
        <w:br w:type="page"/>
      </w:r>
      <w:bookmarkStart w:id="45" w:name="_Toc11758"/>
      <w:r>
        <w:rPr>
          <w:rFonts w:ascii="黑体" w:hAnsi="黑体"/>
          <w:szCs w:val="28"/>
        </w:rPr>
        <w:t>附录</w:t>
      </w:r>
      <w:r>
        <w:rPr>
          <w:rFonts w:hint="eastAsia" w:ascii="黑体" w:hAnsi="黑体"/>
          <w:szCs w:val="28"/>
        </w:rPr>
        <w:t>C</w:t>
      </w:r>
      <w:bookmarkEnd w:id="45"/>
    </w:p>
    <w:p>
      <w:pPr>
        <w:pStyle w:val="21"/>
        <w:adjustRightInd w:val="0"/>
        <w:spacing w:before="120" w:after="120" w:line="360" w:lineRule="auto"/>
        <w:contextualSpacing/>
        <w:rPr>
          <w:szCs w:val="28"/>
        </w:rPr>
      </w:pPr>
      <w:bookmarkStart w:id="46" w:name="_Toc25760"/>
      <w:r>
        <w:rPr>
          <w:rFonts w:hint="eastAsia"/>
          <w:szCs w:val="28"/>
        </w:rPr>
        <w:t>振动变送器比较法校准输出测量结果的不确定度评定示例</w:t>
      </w:r>
      <w:bookmarkEnd w:id="46"/>
    </w:p>
    <w:p>
      <w:pPr>
        <w:pStyle w:val="18"/>
        <w:tabs>
          <w:tab w:val="left" w:pos="2304"/>
          <w:tab w:val="left" w:pos="2550"/>
          <w:tab w:val="left" w:pos="3216"/>
          <w:tab w:val="left" w:pos="3400"/>
          <w:tab w:val="center" w:pos="4820"/>
        </w:tabs>
        <w:adjustRightInd w:val="0"/>
        <w:snapToGrid w:val="0"/>
        <w:spacing w:line="360" w:lineRule="auto"/>
        <w:ind w:left="0" w:firstLine="480"/>
        <w:rPr>
          <w:rFonts w:ascii="宋体" w:hAnsi="宋体" w:cs="Arial"/>
          <w:sz w:val="24"/>
          <w:szCs w:val="24"/>
        </w:rPr>
      </w:pPr>
      <w:r>
        <w:rPr>
          <w:rFonts w:hint="eastAsia" w:ascii="宋体" w:hAnsi="宋体" w:cs="Arial"/>
          <w:sz w:val="24"/>
          <w:szCs w:val="24"/>
        </w:rPr>
        <w:t>振动变送器各测量点的输出值是测量的关键参数。这里用标准加速度计套组、标准振动台和数字万用表对振动变送器进行校准，以输出的电流测量值为例进行不确定评定。</w:t>
      </w:r>
    </w:p>
    <w:p>
      <w:pPr>
        <w:pStyle w:val="18"/>
        <w:tabs>
          <w:tab w:val="left" w:pos="2304"/>
          <w:tab w:val="left" w:pos="2550"/>
          <w:tab w:val="left" w:pos="3216"/>
          <w:tab w:val="left" w:pos="3400"/>
          <w:tab w:val="center" w:pos="4820"/>
        </w:tabs>
        <w:adjustRightInd w:val="0"/>
        <w:snapToGrid w:val="0"/>
        <w:spacing w:line="360" w:lineRule="auto"/>
        <w:rPr>
          <w:rFonts w:ascii="宋体" w:hAnsi="宋体" w:cs="Arial"/>
          <w:sz w:val="24"/>
          <w:szCs w:val="24"/>
        </w:rPr>
      </w:pPr>
      <w:r>
        <w:rPr>
          <w:rFonts w:hint="eastAsia" w:ascii="宋体" w:hAnsi="宋体" w:cs="Arial"/>
          <w:sz w:val="24"/>
          <w:szCs w:val="24"/>
        </w:rPr>
        <w:t>C．</w:t>
      </w:r>
      <w:r>
        <w:rPr>
          <w:rFonts w:ascii="宋体" w:hAnsi="宋体" w:cs="Arial"/>
          <w:sz w:val="24"/>
          <w:szCs w:val="24"/>
        </w:rPr>
        <w:t>1测量方法</w:t>
      </w:r>
    </w:p>
    <w:p>
      <w:pPr>
        <w:pStyle w:val="18"/>
        <w:tabs>
          <w:tab w:val="left" w:pos="2304"/>
          <w:tab w:val="left" w:pos="2550"/>
          <w:tab w:val="left" w:pos="3216"/>
          <w:tab w:val="left" w:pos="3400"/>
          <w:tab w:val="center" w:pos="4820"/>
        </w:tabs>
        <w:adjustRightInd w:val="0"/>
        <w:snapToGrid w:val="0"/>
        <w:spacing w:line="360" w:lineRule="auto"/>
        <w:ind w:left="0" w:firstLine="480"/>
        <w:rPr>
          <w:rFonts w:ascii="宋体" w:hAnsi="宋体" w:cs="Arial"/>
          <w:sz w:val="24"/>
          <w:szCs w:val="24"/>
        </w:rPr>
      </w:pPr>
      <w:r>
        <w:rPr>
          <w:rFonts w:hint="eastAsia" w:ascii="宋体" w:hAnsi="宋体" w:cs="Arial"/>
          <w:sz w:val="24"/>
          <w:szCs w:val="24"/>
        </w:rPr>
        <w:t>采用比较法振动标准装置，将被检振动变送器的传感器与标准加速度计背靠背刚性的连接在一起，安装在标准振动台的台面中心，在适当的振动幅值下，使用电流表读取振动变送器的输出电流值。</w:t>
      </w:r>
    </w:p>
    <w:p>
      <w:pPr>
        <w:pStyle w:val="18"/>
        <w:tabs>
          <w:tab w:val="left" w:pos="2304"/>
          <w:tab w:val="left" w:pos="2550"/>
          <w:tab w:val="left" w:pos="3216"/>
          <w:tab w:val="left" w:pos="3400"/>
          <w:tab w:val="center" w:pos="4820"/>
        </w:tabs>
        <w:adjustRightInd w:val="0"/>
        <w:snapToGrid w:val="0"/>
        <w:spacing w:line="360" w:lineRule="auto"/>
        <w:rPr>
          <w:rFonts w:ascii="宋体" w:hAnsi="宋体" w:cs="Arial"/>
          <w:sz w:val="24"/>
          <w:szCs w:val="24"/>
        </w:rPr>
      </w:pPr>
      <w:r>
        <w:rPr>
          <w:rFonts w:hint="eastAsia" w:ascii="宋体" w:hAnsi="宋体" w:cs="Arial"/>
          <w:sz w:val="24"/>
          <w:szCs w:val="24"/>
        </w:rPr>
        <w:t>C</w:t>
      </w:r>
      <w:r>
        <w:rPr>
          <w:rFonts w:ascii="宋体" w:hAnsi="宋体" w:cs="Arial"/>
          <w:sz w:val="24"/>
          <w:szCs w:val="24"/>
        </w:rPr>
        <w:t>．2测量模型</w:t>
      </w:r>
    </w:p>
    <w:p>
      <w:pPr>
        <w:pStyle w:val="10"/>
        <w:ind w:firstLine="960" w:firstLineChars="400"/>
        <w:jc w:val="right"/>
        <w:rPr>
          <w:sz w:val="24"/>
        </w:rPr>
      </w:pPr>
      <w:r>
        <w:rPr>
          <w:position w:val="-12"/>
          <w:sz w:val="24"/>
        </w:rPr>
        <w:object>
          <v:shape id="_x0000_i1047" o:spt="75" type="#_x0000_t75" style="height:19.5pt;width:29.25pt;" o:ole="t" filled="f" o:preferrelative="t" stroked="f" coordsize="21600,21600">
            <v:path/>
            <v:fill on="f" focussize="0,0"/>
            <v:stroke on="f" joinstyle="miter"/>
            <v:imagedata r:id="rId63" o:title=""/>
            <o:lock v:ext="edit" aspectratio="t"/>
            <w10:wrap type="none"/>
            <w10:anchorlock/>
          </v:shape>
          <o:OLEObject Type="Embed" ProgID="Equation.DSMT4" ShapeID="_x0000_i1047" DrawAspect="Content" ObjectID="_1468075749" r:id="rId62">
            <o:LockedField>false</o:LockedField>
          </o:OLEObject>
        </w:object>
      </w:r>
      <w:r>
        <w:rPr>
          <w:rFonts w:hint="eastAsia"/>
          <w:sz w:val="24"/>
        </w:rPr>
        <w:tab/>
      </w:r>
      <w:r>
        <w:rPr>
          <w:rFonts w:hint="eastAsia"/>
          <w:sz w:val="24"/>
        </w:rPr>
        <w:tab/>
      </w:r>
      <w:r>
        <w:rPr>
          <w:rFonts w:hint="eastAsia"/>
          <w:sz w:val="24"/>
        </w:rPr>
        <w:tab/>
      </w:r>
      <w:r>
        <w:rPr>
          <w:rFonts w:hint="eastAsia"/>
          <w:sz w:val="24"/>
        </w:rPr>
        <w:t xml:space="preserve">                    （</w:t>
      </w:r>
      <w:r>
        <w:rPr>
          <w:rFonts w:hint="eastAsia" w:ascii="Arial" w:hAnsi="Arial" w:cs="Arial"/>
          <w:sz w:val="24"/>
        </w:rPr>
        <w:t>C.1</w:t>
      </w:r>
      <w:r>
        <w:rPr>
          <w:rFonts w:hint="eastAsia"/>
          <w:sz w:val="24"/>
        </w:rPr>
        <w:t>）</w:t>
      </w:r>
    </w:p>
    <w:p>
      <w:pPr>
        <w:pStyle w:val="10"/>
        <w:spacing w:after="156" w:afterLines="50" w:line="400" w:lineRule="exact"/>
        <w:ind w:firstLine="0" w:firstLineChars="0"/>
        <w:rPr>
          <w:sz w:val="24"/>
        </w:rPr>
      </w:pPr>
      <w:r>
        <w:rPr>
          <w:rFonts w:hint="eastAsia"/>
          <w:sz w:val="24"/>
        </w:rPr>
        <w:t>式中：</w:t>
      </w:r>
      <w:r>
        <w:rPr>
          <w:position w:val="-12"/>
        </w:rPr>
        <w:object>
          <v:shape id="_x0000_i1048" o:spt="75" type="#_x0000_t75" style="height:18pt;width:13.5pt;" o:ole="t" filled="f" o:preferrelative="t" stroked="f" coordsize="21600,21600">
            <v:path/>
            <v:fill on="f" focussize="0,0"/>
            <v:stroke on="f" joinstyle="miter"/>
            <v:imagedata r:id="rId39" o:title=""/>
            <o:lock v:ext="edit" aspectratio="t"/>
            <w10:wrap type="none"/>
            <w10:anchorlock/>
          </v:shape>
          <o:OLEObject Type="Embed" ProgID="Equation.DSMT4" ShapeID="_x0000_i1048" DrawAspect="Content" ObjectID="_1468075750" r:id="rId64">
            <o:LockedField>false</o:LockedField>
          </o:OLEObject>
        </w:object>
      </w:r>
      <w:r>
        <w:rPr>
          <w:rFonts w:hAnsi="宋体"/>
          <w:sz w:val="24"/>
          <w:szCs w:val="24"/>
        </w:rPr>
        <w:t>—</w:t>
      </w:r>
      <w:r>
        <w:rPr>
          <w:rFonts w:hint="eastAsia"/>
          <w:sz w:val="24"/>
        </w:rPr>
        <w:t>振动变送器各次输出测量值，mA；</w:t>
      </w:r>
    </w:p>
    <w:p>
      <w:pPr>
        <w:pStyle w:val="10"/>
        <w:spacing w:after="156" w:afterLines="50" w:line="400" w:lineRule="exact"/>
        <w:ind w:firstLine="735" w:firstLineChars="350"/>
        <w:rPr>
          <w:b/>
          <w:sz w:val="24"/>
        </w:rPr>
      </w:pPr>
      <w:r>
        <w:rPr>
          <w:position w:val="-12"/>
        </w:rPr>
        <w:object>
          <v:shape id="_x0000_i1049" o:spt="75" type="#_x0000_t75" style="height:18pt;width:14.25pt;" o:ole="t" filled="f" o:preferrelative="t" stroked="f" coordsize="21600,21600">
            <v:path/>
            <v:fill on="f" focussize="0,0"/>
            <v:stroke on="f" joinstyle="miter"/>
            <v:imagedata r:id="rId66" o:title=""/>
            <o:lock v:ext="edit" aspectratio="t"/>
            <w10:wrap type="none"/>
            <w10:anchorlock/>
          </v:shape>
          <o:OLEObject Type="Embed" ProgID="Equation.DSMT4" ShapeID="_x0000_i1049" DrawAspect="Content" ObjectID="_1468075751" r:id="rId65">
            <o:LockedField>false</o:LockedField>
          </o:OLEObject>
        </w:object>
      </w:r>
      <w:r>
        <w:rPr>
          <w:rFonts w:hAnsi="宋体"/>
          <w:sz w:val="24"/>
          <w:szCs w:val="24"/>
        </w:rPr>
        <w:t>—</w:t>
      </w:r>
      <w:r>
        <w:rPr>
          <w:rFonts w:hint="eastAsia" w:hAnsi="宋体"/>
          <w:sz w:val="24"/>
          <w:szCs w:val="24"/>
        </w:rPr>
        <w:t>第</w:t>
      </w:r>
      <w:r>
        <w:rPr>
          <w:position w:val="-6"/>
        </w:rPr>
        <w:object>
          <v:shape id="_x0000_i1050" o:spt="75" type="#_x0000_t75" style="height:12.75pt;width:6.75pt;" o:ole="t" filled="f" o:preferrelative="t" stroked="f" coordsize="21600,21600">
            <v:path/>
            <v:fill on="f" focussize="0,0"/>
            <v:stroke on="f" joinstyle="miter"/>
            <v:imagedata r:id="rId68" o:title=""/>
            <o:lock v:ext="edit" aspectratio="t"/>
            <w10:wrap type="none"/>
            <w10:anchorlock/>
          </v:shape>
          <o:OLEObject Type="Embed" ProgID="Equation.DSMT4" ShapeID="_x0000_i1050" DrawAspect="Content" ObjectID="_1468075752" r:id="rId67">
            <o:LockedField>false</o:LockedField>
          </o:OLEObject>
        </w:object>
      </w:r>
      <w:r>
        <w:rPr>
          <w:rFonts w:hint="eastAsia"/>
          <w:sz w:val="24"/>
        </w:rPr>
        <w:t>个校准点的振动变送器输出测量值，mA；</w:t>
      </w:r>
    </w:p>
    <w:p>
      <w:pPr>
        <w:pStyle w:val="18"/>
        <w:tabs>
          <w:tab w:val="left" w:pos="2304"/>
          <w:tab w:val="left" w:pos="2550"/>
          <w:tab w:val="left" w:pos="3216"/>
          <w:tab w:val="left" w:pos="3400"/>
          <w:tab w:val="center" w:pos="4820"/>
        </w:tabs>
        <w:adjustRightInd w:val="0"/>
        <w:snapToGrid w:val="0"/>
        <w:spacing w:line="360" w:lineRule="auto"/>
        <w:rPr>
          <w:rFonts w:ascii="宋体" w:hAnsi="宋体" w:cs="Arial"/>
          <w:sz w:val="24"/>
          <w:szCs w:val="24"/>
        </w:rPr>
      </w:pPr>
      <w:r>
        <w:rPr>
          <w:rFonts w:hint="eastAsia" w:ascii="宋体" w:hAnsi="宋体" w:cs="Arial"/>
          <w:sz w:val="24"/>
          <w:szCs w:val="24"/>
        </w:rPr>
        <w:t>C</w:t>
      </w:r>
      <w:r>
        <w:rPr>
          <w:rFonts w:ascii="宋体" w:hAnsi="宋体" w:cs="Arial"/>
          <w:sz w:val="24"/>
          <w:szCs w:val="24"/>
        </w:rPr>
        <w:t>．</w:t>
      </w:r>
      <w:r>
        <w:rPr>
          <w:rFonts w:hint="eastAsia" w:ascii="宋体" w:hAnsi="宋体" w:cs="Arial"/>
          <w:sz w:val="24"/>
          <w:szCs w:val="24"/>
        </w:rPr>
        <w:t>3</w:t>
      </w:r>
      <w:r>
        <w:rPr>
          <w:rFonts w:ascii="宋体" w:hAnsi="宋体" w:cs="Arial"/>
          <w:sz w:val="24"/>
          <w:szCs w:val="24"/>
        </w:rPr>
        <w:t xml:space="preserve"> 标准不确定度</w:t>
      </w:r>
      <w:r>
        <w:rPr>
          <w:rFonts w:hint="eastAsia" w:ascii="宋体" w:hAnsi="宋体" w:cs="Arial"/>
          <w:sz w:val="24"/>
          <w:szCs w:val="24"/>
        </w:rPr>
        <w:t>评定</w:t>
      </w:r>
    </w:p>
    <w:p>
      <w:pPr>
        <w:spacing w:line="400" w:lineRule="exact"/>
        <w:rPr>
          <w:sz w:val="24"/>
        </w:rPr>
      </w:pPr>
      <w:r>
        <w:rPr>
          <w:rFonts w:hint="eastAsia"/>
          <w:bCs/>
          <w:sz w:val="24"/>
        </w:rPr>
        <w:t>C</w:t>
      </w:r>
      <w:r>
        <w:rPr>
          <w:sz w:val="24"/>
        </w:rPr>
        <w:t>.</w:t>
      </w:r>
      <w:r>
        <w:rPr>
          <w:rFonts w:hint="eastAsia"/>
          <w:sz w:val="24"/>
        </w:rPr>
        <w:t>3</w:t>
      </w:r>
      <w:r>
        <w:rPr>
          <w:sz w:val="24"/>
        </w:rPr>
        <w:t>.1 校准的重复测量引入的不确定度分量</w:t>
      </w:r>
      <w:r>
        <w:rPr>
          <w:position w:val="-14"/>
        </w:rPr>
        <w:object>
          <v:shape id="_x0000_i1051" o:spt="75" type="#_x0000_t75" style="height:18pt;width:21.75pt;" o:ole="t" filled="f" o:preferrelative="t" stroked="f" coordsize="21600,21600">
            <v:path/>
            <v:fill on="f" focussize="0,0"/>
            <v:stroke on="f" joinstyle="miter"/>
            <v:imagedata r:id="rId70" o:title=""/>
            <o:lock v:ext="edit" aspectratio="t"/>
            <w10:wrap type="none"/>
            <w10:anchorlock/>
          </v:shape>
          <o:OLEObject Type="Embed" ProgID="Equation.DSMT4" ShapeID="_x0000_i1051" DrawAspect="Content" ObjectID="_1468075753" r:id="rId69">
            <o:LockedField>false</o:LockedField>
          </o:OLEObject>
        </w:object>
      </w:r>
    </w:p>
    <w:p>
      <w:pPr>
        <w:spacing w:line="400" w:lineRule="exact"/>
        <w:ind w:firstLine="480" w:firstLineChars="200"/>
        <w:rPr>
          <w:sz w:val="24"/>
        </w:rPr>
      </w:pPr>
      <w:r>
        <w:rPr>
          <w:rFonts w:hint="eastAsia"/>
          <w:sz w:val="24"/>
        </w:rPr>
        <w:t xml:space="preserve">选取一只振动变送器通过在重复条件下（参考振动速度10 </w:t>
      </w:r>
      <w:r>
        <w:rPr>
          <w:sz w:val="24"/>
        </w:rPr>
        <w:t>mm/s</w:t>
      </w:r>
      <w:r>
        <w:rPr>
          <w:rFonts w:hint="eastAsia"/>
          <w:sz w:val="24"/>
        </w:rPr>
        <w:t>）振动，连续测量10次，得到下列结果：</w:t>
      </w:r>
      <w:r>
        <w:rPr>
          <w:sz w:val="24"/>
        </w:rPr>
        <w:t xml:space="preserve"> </w:t>
      </w:r>
    </w:p>
    <w:p>
      <w:pPr>
        <w:ind w:right="105" w:firstLine="405"/>
        <w:jc w:val="center"/>
        <w:rPr>
          <w:rFonts w:ascii="黑体" w:eastAsia="黑体"/>
        </w:rPr>
      </w:pPr>
      <w:r>
        <w:rPr>
          <w:rFonts w:hint="eastAsia" w:ascii="黑体" w:eastAsia="黑体"/>
        </w:rPr>
        <w:t>表C</w:t>
      </w:r>
      <w:r>
        <w:rPr>
          <w:rFonts w:ascii="黑体" w:eastAsia="黑体"/>
        </w:rPr>
        <w:t>.1  10</w:t>
      </w:r>
      <w:r>
        <w:rPr>
          <w:rFonts w:hint="eastAsia" w:ascii="黑体" w:eastAsia="黑体"/>
        </w:rPr>
        <w:t>次测量结果</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3"/>
        <w:gridCol w:w="3169"/>
        <w:gridCol w:w="1381"/>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23" w:type="dxa"/>
            <w:vAlign w:val="center"/>
          </w:tcPr>
          <w:p>
            <w:pPr>
              <w:jc w:val="center"/>
              <w:rPr>
                <w:rFonts w:asciiTheme="minorEastAsia" w:hAnsiTheme="minorEastAsia" w:eastAsiaTheme="minorEastAsia"/>
              </w:rPr>
            </w:pPr>
            <w:r>
              <w:rPr>
                <w:rFonts w:hint="eastAsia" w:asciiTheme="minorEastAsia" w:hAnsiTheme="minorEastAsia" w:eastAsiaTheme="minorEastAsia"/>
              </w:rPr>
              <w:t>次数</w:t>
            </w:r>
            <w:r>
              <w:rPr>
                <w:position w:val="-6"/>
                <w:szCs w:val="21"/>
              </w:rPr>
              <w:object>
                <v:shape id="_x0000_i1052" o:spt="75" type="#_x0000_t75" style="height:12.75pt;width:6.75pt;" o:ole="t" fillcolor="#000011" filled="f" o:preferrelative="t" stroked="f" coordsize="21600,21600">
                  <v:path/>
                  <v:fill on="f" focussize="0,0"/>
                  <v:stroke on="f" joinstyle="miter"/>
                  <v:imagedata r:id="rId72" o:title=""/>
                  <o:lock v:ext="edit" aspectratio="t"/>
                  <w10:wrap type="none"/>
                  <w10:anchorlock/>
                </v:shape>
                <o:OLEObject Type="Embed" ProgID="Equation.3" ShapeID="_x0000_i1052" DrawAspect="Content" ObjectID="_1468075754" r:id="rId71">
                  <o:LockedField>false</o:LockedField>
                </o:OLEObject>
              </w:object>
            </w:r>
          </w:p>
        </w:tc>
        <w:tc>
          <w:tcPr>
            <w:tcW w:w="3169" w:type="dxa"/>
            <w:vAlign w:val="center"/>
          </w:tcPr>
          <w:p>
            <w:pPr>
              <w:jc w:val="center"/>
              <w:rPr>
                <w:rFonts w:asciiTheme="minorEastAsia" w:hAnsiTheme="minorEastAsia" w:eastAsiaTheme="minorEastAsia"/>
              </w:rPr>
            </w:pPr>
            <w:r>
              <w:rPr>
                <w:rFonts w:hint="eastAsia" w:asciiTheme="minorEastAsia" w:hAnsiTheme="minorEastAsia" w:eastAsiaTheme="minorEastAsia"/>
              </w:rPr>
              <w:t>输出测量均值</w:t>
            </w:r>
            <w:r>
              <w:rPr>
                <w:position w:val="-12"/>
              </w:rPr>
              <w:object>
                <v:shape id="_x0000_i1053" o:spt="75" type="#_x0000_t75" style="height:18pt;width:13.5pt;" o:ole="t" filled="f" o:preferrelative="t" stroked="f" coordsize="21600,21600">
                  <v:path/>
                  <v:fill on="f" focussize="0,0"/>
                  <v:stroke on="f" joinstyle="miter"/>
                  <v:imagedata r:id="rId39" o:title=""/>
                  <o:lock v:ext="edit" aspectratio="t"/>
                  <w10:wrap type="none"/>
                  <w10:anchorlock/>
                </v:shape>
                <o:OLEObject Type="Embed" ProgID="Equation.DSMT4" ShapeID="_x0000_i1053" DrawAspect="Content" ObjectID="_1468075755" r:id="rId73">
                  <o:LockedField>false</o:LockedField>
                </o:OLEObject>
              </w:object>
            </w:r>
            <w:r>
              <w:rPr>
                <w:rFonts w:hint="eastAsia" w:asciiTheme="minorEastAsia" w:hAnsiTheme="minorEastAsia" w:eastAsiaTheme="minorEastAsia"/>
              </w:rPr>
              <w:t>/</w:t>
            </w:r>
            <w:r>
              <w:rPr>
                <w:rFonts w:ascii="宋体" w:hAnsi="宋体"/>
                <w:szCs w:val="21"/>
              </w:rPr>
              <w:t>m</w:t>
            </w:r>
            <w:r>
              <w:rPr>
                <w:rFonts w:hint="eastAsia" w:ascii="宋体" w:hAnsi="宋体"/>
                <w:szCs w:val="21"/>
              </w:rPr>
              <w:t>A</w:t>
            </w:r>
          </w:p>
        </w:tc>
        <w:tc>
          <w:tcPr>
            <w:tcW w:w="1381" w:type="dxa"/>
            <w:vAlign w:val="center"/>
          </w:tcPr>
          <w:p>
            <w:pPr>
              <w:jc w:val="center"/>
              <w:rPr>
                <w:rFonts w:asciiTheme="minorEastAsia" w:hAnsiTheme="minorEastAsia" w:eastAsiaTheme="minorEastAsia"/>
              </w:rPr>
            </w:pPr>
            <w:r>
              <w:rPr>
                <w:rFonts w:hint="eastAsia" w:asciiTheme="minorEastAsia" w:hAnsiTheme="minorEastAsia" w:eastAsiaTheme="minorEastAsia"/>
              </w:rPr>
              <w:t>次数</w:t>
            </w:r>
            <w:r>
              <w:rPr>
                <w:position w:val="-6"/>
                <w:szCs w:val="21"/>
              </w:rPr>
              <w:object>
                <v:shape id="_x0000_i1054" o:spt="75" type="#_x0000_t75" style="height:12.75pt;width:6.75pt;" o:ole="t" fillcolor="#000011" filled="f" o:preferrelative="t" stroked="f" coordsize="21600,21600">
                  <v:path/>
                  <v:fill on="f" focussize="0,0"/>
                  <v:stroke on="f" joinstyle="miter"/>
                  <v:imagedata r:id="rId72" o:title=""/>
                  <o:lock v:ext="edit" aspectratio="t"/>
                  <w10:wrap type="none"/>
                  <w10:anchorlock/>
                </v:shape>
                <o:OLEObject Type="Embed" ProgID="Equation.3" ShapeID="_x0000_i1054" DrawAspect="Content" ObjectID="_1468075756" r:id="rId74">
                  <o:LockedField>false</o:LockedField>
                </o:OLEObject>
              </w:object>
            </w:r>
          </w:p>
        </w:tc>
        <w:tc>
          <w:tcPr>
            <w:tcW w:w="2896" w:type="dxa"/>
            <w:vAlign w:val="center"/>
          </w:tcPr>
          <w:p>
            <w:pPr>
              <w:jc w:val="center"/>
              <w:rPr>
                <w:rFonts w:asciiTheme="minorEastAsia" w:hAnsiTheme="minorEastAsia" w:eastAsiaTheme="minorEastAsia"/>
              </w:rPr>
            </w:pPr>
            <w:r>
              <w:rPr>
                <w:rFonts w:hint="eastAsia" w:asciiTheme="minorEastAsia" w:hAnsiTheme="minorEastAsia" w:eastAsiaTheme="minorEastAsia"/>
              </w:rPr>
              <w:t>输出测量均值</w:t>
            </w:r>
            <w:r>
              <w:rPr>
                <w:position w:val="-12"/>
              </w:rPr>
              <w:object>
                <v:shape id="_x0000_i1055" o:spt="75" type="#_x0000_t75" style="height:18pt;width:13.5pt;" o:ole="t" filled="f" o:preferrelative="t" stroked="f" coordsize="21600,21600">
                  <v:path/>
                  <v:fill on="f" focussize="0,0"/>
                  <v:stroke on="f" joinstyle="miter"/>
                  <v:imagedata r:id="rId39" o:title=""/>
                  <o:lock v:ext="edit" aspectratio="t"/>
                  <w10:wrap type="none"/>
                  <w10:anchorlock/>
                </v:shape>
                <o:OLEObject Type="Embed" ProgID="Equation.DSMT4" ShapeID="_x0000_i1055" DrawAspect="Content" ObjectID="_1468075757" r:id="rId75">
                  <o:LockedField>false</o:LockedField>
                </o:OLEObject>
              </w:object>
            </w:r>
            <w:r>
              <w:rPr>
                <w:rFonts w:hint="eastAsia" w:asciiTheme="minorEastAsia" w:hAnsiTheme="minorEastAsia" w:eastAsiaTheme="minorEastAsia"/>
              </w:rPr>
              <w:t>/</w:t>
            </w:r>
            <w:r>
              <w:rPr>
                <w:rFonts w:ascii="宋体" w:hAnsi="宋体"/>
                <w:szCs w:val="21"/>
              </w:rPr>
              <w:t xml:space="preserve"> m</w:t>
            </w:r>
            <w:r>
              <w:rPr>
                <w:rFonts w:hint="eastAsia" w:ascii="宋体" w:hAnsi="宋体"/>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223" w:type="dxa"/>
          </w:tcPr>
          <w:p>
            <w:pPr>
              <w:jc w:val="center"/>
              <w:rPr>
                <w:rFonts w:asciiTheme="minorEastAsia" w:hAnsiTheme="minorEastAsia" w:eastAsiaTheme="minorEastAsia"/>
              </w:rPr>
            </w:pPr>
            <w:r>
              <w:rPr>
                <w:rFonts w:hint="eastAsia" w:asciiTheme="minorEastAsia" w:hAnsiTheme="minorEastAsia" w:eastAsiaTheme="minorEastAsia"/>
              </w:rPr>
              <w:t>1</w:t>
            </w:r>
          </w:p>
        </w:tc>
        <w:tc>
          <w:tcPr>
            <w:tcW w:w="3169" w:type="dxa"/>
          </w:tcPr>
          <w:p>
            <w:pPr>
              <w:jc w:val="center"/>
              <w:rPr>
                <w:rFonts w:asciiTheme="minorEastAsia" w:hAnsiTheme="minorEastAsia" w:eastAsiaTheme="minorEastAsia"/>
              </w:rPr>
            </w:pPr>
            <w:r>
              <w:rPr>
                <w:rFonts w:hint="eastAsia" w:ascii="宋体" w:hAnsi="宋体"/>
                <w:szCs w:val="21"/>
              </w:rPr>
              <w:t>11.88</w:t>
            </w:r>
          </w:p>
        </w:tc>
        <w:tc>
          <w:tcPr>
            <w:tcW w:w="1381" w:type="dxa"/>
          </w:tcPr>
          <w:p>
            <w:pPr>
              <w:jc w:val="center"/>
              <w:rPr>
                <w:rFonts w:asciiTheme="minorEastAsia" w:hAnsiTheme="minorEastAsia" w:eastAsiaTheme="minorEastAsia"/>
              </w:rPr>
            </w:pPr>
            <w:r>
              <w:rPr>
                <w:rFonts w:hint="eastAsia" w:asciiTheme="minorEastAsia" w:hAnsiTheme="minorEastAsia" w:eastAsiaTheme="minorEastAsia"/>
              </w:rPr>
              <w:t>6</w:t>
            </w:r>
          </w:p>
        </w:tc>
        <w:tc>
          <w:tcPr>
            <w:tcW w:w="2896" w:type="dxa"/>
          </w:tcPr>
          <w:p>
            <w:pPr>
              <w:jc w:val="center"/>
              <w:rPr>
                <w:rFonts w:asciiTheme="minorEastAsia" w:hAnsiTheme="minorEastAsia" w:eastAsiaTheme="minorEastAsia"/>
              </w:rPr>
            </w:pPr>
            <w:r>
              <w:rPr>
                <w:rFonts w:hint="eastAsia" w:ascii="宋体" w:hAnsi="宋体"/>
                <w:szCs w:val="21"/>
              </w:rP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223" w:type="dxa"/>
          </w:tcPr>
          <w:p>
            <w:pPr>
              <w:jc w:val="center"/>
              <w:rPr>
                <w:rFonts w:asciiTheme="minorEastAsia" w:hAnsiTheme="minorEastAsia" w:eastAsiaTheme="minorEastAsia"/>
              </w:rPr>
            </w:pPr>
            <w:r>
              <w:rPr>
                <w:rFonts w:hint="eastAsia" w:asciiTheme="minorEastAsia" w:hAnsiTheme="minorEastAsia" w:eastAsiaTheme="minorEastAsia"/>
              </w:rPr>
              <w:t>2</w:t>
            </w:r>
          </w:p>
        </w:tc>
        <w:tc>
          <w:tcPr>
            <w:tcW w:w="3169" w:type="dxa"/>
          </w:tcPr>
          <w:p>
            <w:pPr>
              <w:jc w:val="center"/>
              <w:rPr>
                <w:rFonts w:asciiTheme="minorEastAsia" w:hAnsiTheme="minorEastAsia" w:eastAsiaTheme="minorEastAsia"/>
              </w:rPr>
            </w:pPr>
            <w:r>
              <w:rPr>
                <w:rFonts w:hint="eastAsia" w:ascii="宋体" w:hAnsi="宋体"/>
                <w:szCs w:val="21"/>
              </w:rPr>
              <w:t>11.92</w:t>
            </w:r>
          </w:p>
        </w:tc>
        <w:tc>
          <w:tcPr>
            <w:tcW w:w="1381" w:type="dxa"/>
          </w:tcPr>
          <w:p>
            <w:pPr>
              <w:jc w:val="center"/>
              <w:rPr>
                <w:rFonts w:asciiTheme="minorEastAsia" w:hAnsiTheme="minorEastAsia" w:eastAsiaTheme="minorEastAsia"/>
              </w:rPr>
            </w:pPr>
            <w:r>
              <w:rPr>
                <w:rFonts w:hint="eastAsia" w:asciiTheme="minorEastAsia" w:hAnsiTheme="minorEastAsia" w:eastAsiaTheme="minorEastAsia"/>
              </w:rPr>
              <w:t>7</w:t>
            </w:r>
          </w:p>
        </w:tc>
        <w:tc>
          <w:tcPr>
            <w:tcW w:w="2896" w:type="dxa"/>
          </w:tcPr>
          <w:p>
            <w:pPr>
              <w:jc w:val="center"/>
              <w:rPr>
                <w:rFonts w:asciiTheme="minorEastAsia" w:hAnsiTheme="minorEastAsia" w:eastAsiaTheme="minorEastAsia"/>
              </w:rPr>
            </w:pPr>
            <w:r>
              <w:rPr>
                <w:rFonts w:hint="eastAsia" w:ascii="宋体" w:hAnsi="宋体"/>
                <w:szCs w:val="21"/>
              </w:rP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223" w:type="dxa"/>
          </w:tcPr>
          <w:p>
            <w:pPr>
              <w:jc w:val="center"/>
              <w:rPr>
                <w:rFonts w:asciiTheme="minorEastAsia" w:hAnsiTheme="minorEastAsia" w:eastAsiaTheme="minorEastAsia"/>
              </w:rPr>
            </w:pPr>
            <w:r>
              <w:rPr>
                <w:rFonts w:hint="eastAsia" w:asciiTheme="minorEastAsia" w:hAnsiTheme="minorEastAsia" w:eastAsiaTheme="minorEastAsia"/>
              </w:rPr>
              <w:t>3</w:t>
            </w:r>
          </w:p>
        </w:tc>
        <w:tc>
          <w:tcPr>
            <w:tcW w:w="3169" w:type="dxa"/>
          </w:tcPr>
          <w:p>
            <w:pPr>
              <w:jc w:val="center"/>
              <w:rPr>
                <w:rFonts w:asciiTheme="minorEastAsia" w:hAnsiTheme="minorEastAsia" w:eastAsiaTheme="minorEastAsia"/>
              </w:rPr>
            </w:pPr>
            <w:r>
              <w:rPr>
                <w:rFonts w:hint="eastAsia" w:ascii="宋体" w:hAnsi="宋体"/>
                <w:szCs w:val="21"/>
              </w:rPr>
              <w:t>11.92</w:t>
            </w:r>
          </w:p>
        </w:tc>
        <w:tc>
          <w:tcPr>
            <w:tcW w:w="1381" w:type="dxa"/>
          </w:tcPr>
          <w:p>
            <w:pPr>
              <w:jc w:val="center"/>
              <w:rPr>
                <w:rFonts w:asciiTheme="minorEastAsia" w:hAnsiTheme="minorEastAsia" w:eastAsiaTheme="minorEastAsia"/>
              </w:rPr>
            </w:pPr>
            <w:r>
              <w:rPr>
                <w:rFonts w:hint="eastAsia" w:asciiTheme="minorEastAsia" w:hAnsiTheme="minorEastAsia" w:eastAsiaTheme="minorEastAsia"/>
              </w:rPr>
              <w:t>8</w:t>
            </w:r>
          </w:p>
        </w:tc>
        <w:tc>
          <w:tcPr>
            <w:tcW w:w="2896" w:type="dxa"/>
          </w:tcPr>
          <w:p>
            <w:pPr>
              <w:jc w:val="center"/>
              <w:rPr>
                <w:rFonts w:asciiTheme="minorEastAsia" w:hAnsiTheme="minorEastAsia" w:eastAsiaTheme="minorEastAsia"/>
              </w:rPr>
            </w:pPr>
            <w:r>
              <w:rPr>
                <w:rFonts w:hint="eastAsia" w:ascii="宋体" w:hAnsi="宋体"/>
                <w:szCs w:val="21"/>
              </w:rPr>
              <w:t>11.86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223" w:type="dxa"/>
          </w:tcPr>
          <w:p>
            <w:pPr>
              <w:jc w:val="center"/>
              <w:rPr>
                <w:rFonts w:asciiTheme="minorEastAsia" w:hAnsiTheme="minorEastAsia" w:eastAsiaTheme="minorEastAsia"/>
              </w:rPr>
            </w:pPr>
            <w:r>
              <w:rPr>
                <w:rFonts w:hint="eastAsia" w:asciiTheme="minorEastAsia" w:hAnsiTheme="minorEastAsia" w:eastAsiaTheme="minorEastAsia"/>
              </w:rPr>
              <w:t>4</w:t>
            </w:r>
          </w:p>
        </w:tc>
        <w:tc>
          <w:tcPr>
            <w:tcW w:w="3169" w:type="dxa"/>
          </w:tcPr>
          <w:p>
            <w:pPr>
              <w:jc w:val="center"/>
              <w:rPr>
                <w:rFonts w:asciiTheme="minorEastAsia" w:hAnsiTheme="minorEastAsia" w:eastAsiaTheme="minorEastAsia"/>
              </w:rPr>
            </w:pPr>
            <w:r>
              <w:rPr>
                <w:rFonts w:hint="eastAsia" w:ascii="宋体" w:hAnsi="宋体"/>
                <w:szCs w:val="21"/>
              </w:rPr>
              <w:t>11.85</w:t>
            </w:r>
          </w:p>
        </w:tc>
        <w:tc>
          <w:tcPr>
            <w:tcW w:w="1381" w:type="dxa"/>
          </w:tcPr>
          <w:p>
            <w:pPr>
              <w:jc w:val="center"/>
              <w:rPr>
                <w:rFonts w:asciiTheme="minorEastAsia" w:hAnsiTheme="minorEastAsia" w:eastAsiaTheme="minorEastAsia"/>
              </w:rPr>
            </w:pPr>
            <w:r>
              <w:rPr>
                <w:rFonts w:hint="eastAsia" w:asciiTheme="minorEastAsia" w:hAnsiTheme="minorEastAsia" w:eastAsiaTheme="minorEastAsia"/>
              </w:rPr>
              <w:t>9</w:t>
            </w:r>
          </w:p>
        </w:tc>
        <w:tc>
          <w:tcPr>
            <w:tcW w:w="2896" w:type="dxa"/>
          </w:tcPr>
          <w:p>
            <w:pPr>
              <w:jc w:val="center"/>
              <w:rPr>
                <w:rFonts w:asciiTheme="minorEastAsia" w:hAnsiTheme="minorEastAsia" w:eastAsiaTheme="minorEastAsia"/>
              </w:rPr>
            </w:pPr>
            <w:r>
              <w:rPr>
                <w:rFonts w:hint="eastAsia" w:ascii="宋体" w:hAnsi="宋体"/>
                <w:szCs w:val="21"/>
              </w:rPr>
              <w:t>11.90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223" w:type="dxa"/>
          </w:tcPr>
          <w:p>
            <w:pPr>
              <w:jc w:val="center"/>
              <w:rPr>
                <w:rFonts w:asciiTheme="minorEastAsia" w:hAnsiTheme="minorEastAsia" w:eastAsiaTheme="minorEastAsia"/>
              </w:rPr>
            </w:pPr>
            <w:r>
              <w:rPr>
                <w:rFonts w:hint="eastAsia" w:asciiTheme="minorEastAsia" w:hAnsiTheme="minorEastAsia" w:eastAsiaTheme="minorEastAsia"/>
              </w:rPr>
              <w:t>5</w:t>
            </w:r>
          </w:p>
        </w:tc>
        <w:tc>
          <w:tcPr>
            <w:tcW w:w="3169" w:type="dxa"/>
          </w:tcPr>
          <w:p>
            <w:pPr>
              <w:jc w:val="center"/>
              <w:rPr>
                <w:rFonts w:asciiTheme="minorEastAsia" w:hAnsiTheme="minorEastAsia" w:eastAsiaTheme="minorEastAsia"/>
              </w:rPr>
            </w:pPr>
            <w:r>
              <w:rPr>
                <w:rFonts w:hint="eastAsia" w:ascii="宋体" w:hAnsi="宋体"/>
                <w:szCs w:val="21"/>
              </w:rPr>
              <w:t>11.81</w:t>
            </w:r>
          </w:p>
        </w:tc>
        <w:tc>
          <w:tcPr>
            <w:tcW w:w="1381" w:type="dxa"/>
          </w:tcPr>
          <w:p>
            <w:pPr>
              <w:jc w:val="center"/>
              <w:rPr>
                <w:rFonts w:asciiTheme="minorEastAsia" w:hAnsiTheme="minorEastAsia" w:eastAsiaTheme="minorEastAsia"/>
              </w:rPr>
            </w:pPr>
            <w:r>
              <w:rPr>
                <w:rFonts w:hint="eastAsia" w:asciiTheme="minorEastAsia" w:hAnsiTheme="minorEastAsia" w:eastAsiaTheme="minorEastAsia"/>
              </w:rPr>
              <w:t>10</w:t>
            </w:r>
          </w:p>
        </w:tc>
        <w:tc>
          <w:tcPr>
            <w:tcW w:w="2896" w:type="dxa"/>
          </w:tcPr>
          <w:p>
            <w:pPr>
              <w:jc w:val="center"/>
              <w:rPr>
                <w:rFonts w:asciiTheme="minorEastAsia" w:hAnsiTheme="minorEastAsia" w:eastAsiaTheme="minorEastAsia"/>
              </w:rPr>
            </w:pPr>
            <w:r>
              <w:rPr>
                <w:rFonts w:hint="eastAsia" w:ascii="宋体" w:hAnsi="宋体"/>
                <w:szCs w:val="21"/>
              </w:rPr>
              <w:t>11.89</w:t>
            </w:r>
          </w:p>
        </w:tc>
      </w:tr>
    </w:tbl>
    <w:p>
      <w:pPr>
        <w:ind w:firstLine="600" w:firstLineChars="250"/>
        <w:jc w:val="left"/>
        <w:rPr>
          <w:sz w:val="24"/>
        </w:rPr>
      </w:pPr>
      <w:r>
        <w:rPr>
          <w:rFonts w:hint="eastAsia"/>
          <w:sz w:val="24"/>
        </w:rPr>
        <w:t>算术平均值：</w:t>
      </w:r>
      <w:r>
        <w:rPr>
          <w:position w:val="-28"/>
          <w:sz w:val="24"/>
        </w:rPr>
        <w:object>
          <v:shape id="_x0000_i1056" o:spt="75" type="#_x0000_t75" style="height:34.5pt;width:65.25pt;" o:ole="t" filled="f" o:preferrelative="t" stroked="f" coordsize="21600,21600">
            <v:path/>
            <v:fill on="f" focussize="0,0"/>
            <v:stroke on="f" joinstyle="miter"/>
            <v:imagedata r:id="rId77" o:title=""/>
            <o:lock v:ext="edit" aspectratio="t"/>
            <w10:wrap type="none"/>
            <w10:anchorlock/>
          </v:shape>
          <o:OLEObject Type="Embed" ProgID="Equation.DSMT4" ShapeID="_x0000_i1056" DrawAspect="Content" ObjectID="_1468075758" r:id="rId76">
            <o:LockedField>false</o:LockedField>
          </o:OLEObject>
        </w:object>
      </w:r>
      <w:r>
        <w:rPr>
          <w:sz w:val="24"/>
        </w:rPr>
        <w:t xml:space="preserve"> </w:t>
      </w:r>
      <w:r>
        <w:rPr>
          <w:rFonts w:hint="eastAsia"/>
          <w:sz w:val="24"/>
        </w:rPr>
        <w:t xml:space="preserve">11.891 </w:t>
      </w:r>
      <w:r>
        <w:rPr>
          <w:rFonts w:ascii="宋体" w:hAnsi="宋体"/>
          <w:sz w:val="24"/>
        </w:rPr>
        <w:t>m</w:t>
      </w:r>
      <w:r>
        <w:rPr>
          <w:rFonts w:hint="eastAsia" w:ascii="宋体" w:hAnsi="宋体"/>
          <w:sz w:val="24"/>
        </w:rPr>
        <w:t>A</w:t>
      </w:r>
    </w:p>
    <w:p>
      <w:pPr>
        <w:spacing w:line="360" w:lineRule="auto"/>
        <w:ind w:firstLine="480" w:firstLineChars="200"/>
        <w:rPr>
          <w:sz w:val="24"/>
        </w:rPr>
      </w:pPr>
      <w:r>
        <w:rPr>
          <w:rFonts w:hint="eastAsia" w:hAnsi="宋体"/>
          <w:sz w:val="24"/>
        </w:rPr>
        <w:t>单次测量的标准偏差</w:t>
      </w:r>
      <w:r>
        <w:rPr>
          <w:rFonts w:hAnsi="宋体"/>
          <w:position w:val="-26"/>
          <w:sz w:val="24"/>
        </w:rPr>
        <w:object>
          <v:shape id="_x0000_i1057" o:spt="75" type="#_x0000_t75" style="height:51.75pt;width:118.5pt;" o:ole="t" filled="f" o:preferrelative="t" stroked="f" coordsize="21600,21600">
            <v:path/>
            <v:fill on="f" focussize="0,0"/>
            <v:stroke on="f" joinstyle="miter"/>
            <v:imagedata r:id="rId79" o:title=""/>
            <o:lock v:ext="edit" aspectratio="t"/>
            <w10:wrap type="none"/>
            <w10:anchorlock/>
          </v:shape>
          <o:OLEObject Type="Embed" ProgID="Equation.DSMT4" ShapeID="_x0000_i1057" DrawAspect="Content" ObjectID="_1468075759" r:id="rId78">
            <o:LockedField>false</o:LockedField>
          </o:OLEObject>
        </w:object>
      </w:r>
      <w:r>
        <w:rPr>
          <w:rFonts w:hAnsi="宋体"/>
          <w:sz w:val="24"/>
        </w:rPr>
        <w:t>=</w:t>
      </w:r>
      <w:r>
        <w:rPr>
          <w:rFonts w:hint="eastAsia"/>
          <w:sz w:val="24"/>
        </w:rPr>
        <w:t>0.0594</w:t>
      </w:r>
      <w:r>
        <w:rPr>
          <w:rFonts w:ascii="宋体" w:hAnsi="宋体"/>
          <w:sz w:val="24"/>
        </w:rPr>
        <w:t xml:space="preserve"> m</w:t>
      </w:r>
      <w:r>
        <w:rPr>
          <w:rFonts w:hint="eastAsia" w:ascii="宋体" w:hAnsi="宋体"/>
          <w:sz w:val="24"/>
        </w:rPr>
        <w:t>A</w:t>
      </w:r>
    </w:p>
    <w:p>
      <w:pPr>
        <w:spacing w:line="360" w:lineRule="auto"/>
        <w:ind w:firstLine="480" w:firstLineChars="200"/>
        <w:rPr>
          <w:rFonts w:hAnsi="宋体"/>
          <w:sz w:val="24"/>
        </w:rPr>
      </w:pPr>
      <w:r>
        <w:rPr>
          <w:rFonts w:hint="eastAsia" w:hAnsi="宋体"/>
          <w:sz w:val="24"/>
        </w:rPr>
        <w:t>以单次测量的平均值作为校准值时，重复性引入的标准不确定度分量为：</w:t>
      </w:r>
    </w:p>
    <w:p>
      <w:pPr>
        <w:spacing w:line="360" w:lineRule="auto"/>
        <w:ind w:firstLine="2640" w:firstLineChars="1100"/>
        <w:rPr>
          <w:sz w:val="24"/>
        </w:rPr>
      </w:pPr>
      <w:r>
        <w:rPr>
          <w:position w:val="-12"/>
          <w:sz w:val="24"/>
        </w:rPr>
        <w:object>
          <v:shape id="_x0000_i1058" o:spt="75" type="#_x0000_t75" style="height:18pt;width:66.75pt;" o:ole="t" filled="f" o:preferrelative="t" stroked="f" coordsize="21600,21600">
            <v:path/>
            <v:fill on="f" focussize="0,0"/>
            <v:stroke on="f" joinstyle="miter"/>
            <v:imagedata r:id="rId81" o:title=""/>
            <o:lock v:ext="edit" aspectratio="t"/>
            <w10:wrap type="none"/>
            <w10:anchorlock/>
          </v:shape>
          <o:OLEObject Type="Embed" ProgID="Equation.DSMT4" ShapeID="_x0000_i1058" DrawAspect="Content" ObjectID="_1468075760" r:id="rId80">
            <o:LockedField>false</o:LockedField>
          </o:OLEObject>
        </w:object>
      </w:r>
      <w:r>
        <w:rPr>
          <w:rFonts w:hint="eastAsia"/>
          <w:position w:val="-28"/>
          <w:sz w:val="24"/>
        </w:rPr>
        <w:t xml:space="preserve"> </w:t>
      </w:r>
      <w:r>
        <w:rPr>
          <w:position w:val="-4"/>
        </w:rPr>
        <w:object>
          <v:shape id="_x0000_i1059" o:spt="75" type="#_x0000_t75" style="height:12.75pt;width:21.75pt;" o:ole="t" filled="f" o:preferrelative="t" stroked="f" coordsize="21600,21600">
            <v:path/>
            <v:fill on="f" focussize="0,0"/>
            <v:stroke on="f" joinstyle="miter"/>
            <v:imagedata r:id="rId83" o:title=""/>
            <o:lock v:ext="edit" aspectratio="t"/>
            <w10:wrap type="none"/>
            <w10:anchorlock/>
          </v:shape>
          <o:OLEObject Type="Embed" ProgID="Equation.DSMT4" ShapeID="_x0000_i1059" DrawAspect="Content" ObjectID="_1468075761" r:id="rId82">
            <o:LockedField>false</o:LockedField>
          </o:OLEObject>
        </w:object>
      </w:r>
    </w:p>
    <w:p>
      <w:pPr>
        <w:autoSpaceDE w:val="0"/>
        <w:autoSpaceDN w:val="0"/>
        <w:adjustRightInd w:val="0"/>
        <w:spacing w:line="360" w:lineRule="auto"/>
        <w:ind w:firstLine="2520" w:firstLineChars="1050"/>
        <w:rPr>
          <w:position w:val="-28"/>
          <w:sz w:val="24"/>
        </w:rPr>
      </w:pPr>
      <w:r>
        <w:rPr>
          <w:position w:val="-24"/>
          <w:sz w:val="24"/>
        </w:rPr>
        <w:object>
          <v:shape id="_x0000_i1060" o:spt="75" type="#_x0000_t75" style="height:31.5pt;width:139.5pt;" o:ole="t" filled="f" o:preferrelative="t" stroked="f" coordsize="21600,21600">
            <v:path/>
            <v:fill on="f" focussize="0,0"/>
            <v:stroke on="f" joinstyle="miter"/>
            <v:imagedata r:id="rId85" o:title=""/>
            <o:lock v:ext="edit" aspectratio="t"/>
            <w10:wrap type="none"/>
            <w10:anchorlock/>
          </v:shape>
          <o:OLEObject Type="Embed" ProgID="Equation.DSMT4" ShapeID="_x0000_i1060" DrawAspect="Content" ObjectID="_1468075762" r:id="rId84">
            <o:LockedField>false</o:LockedField>
          </o:OLEObject>
        </w:object>
      </w:r>
    </w:p>
    <w:p>
      <w:pPr>
        <w:autoSpaceDE w:val="0"/>
        <w:autoSpaceDN w:val="0"/>
        <w:adjustRightInd w:val="0"/>
        <w:spacing w:line="360" w:lineRule="auto"/>
        <w:rPr>
          <w:sz w:val="24"/>
        </w:rPr>
      </w:pPr>
      <w:r>
        <w:rPr>
          <w:rFonts w:hint="eastAsia"/>
          <w:bCs/>
          <w:sz w:val="24"/>
        </w:rPr>
        <w:t>C</w:t>
      </w:r>
      <w:r>
        <w:rPr>
          <w:sz w:val="24"/>
        </w:rPr>
        <w:t>.</w:t>
      </w:r>
      <w:r>
        <w:rPr>
          <w:rFonts w:hint="eastAsia"/>
          <w:sz w:val="24"/>
        </w:rPr>
        <w:t>3</w:t>
      </w:r>
      <w:r>
        <w:rPr>
          <w:sz w:val="24"/>
        </w:rPr>
        <w:t>.2</w:t>
      </w:r>
      <w:r>
        <w:rPr>
          <w:rFonts w:hint="eastAsia"/>
          <w:sz w:val="24"/>
        </w:rPr>
        <w:t xml:space="preserve"> 标准器引入的</w:t>
      </w:r>
      <w:r>
        <w:rPr>
          <w:sz w:val="24"/>
        </w:rPr>
        <w:t>不确定度分量</w:t>
      </w:r>
      <w:r>
        <w:rPr>
          <w:position w:val="-14"/>
        </w:rPr>
        <w:object>
          <v:shape id="_x0000_i1061" o:spt="75" type="#_x0000_t75" style="height:18pt;width:23.25pt;" o:ole="t" filled="f" o:preferrelative="t" stroked="f" coordsize="21600,21600">
            <v:path/>
            <v:fill on="f" focussize="0,0"/>
            <v:stroke on="f" joinstyle="miter"/>
            <v:imagedata r:id="rId87" o:title=""/>
            <o:lock v:ext="edit" aspectratio="t"/>
            <w10:wrap type="none"/>
            <w10:anchorlock/>
          </v:shape>
          <o:OLEObject Type="Embed" ProgID="Equation.DSMT4" ShapeID="_x0000_i1061" DrawAspect="Content" ObjectID="_1468075763" r:id="rId86">
            <o:LockedField>false</o:LockedField>
          </o:OLEObject>
        </w:object>
      </w:r>
    </w:p>
    <w:p>
      <w:pPr>
        <w:spacing w:line="360" w:lineRule="auto"/>
        <w:rPr>
          <w:sz w:val="24"/>
        </w:rPr>
      </w:pPr>
      <w:r>
        <w:rPr>
          <w:rFonts w:hint="eastAsia"/>
          <w:sz w:val="24"/>
        </w:rPr>
        <w:t>C.3.2.1标准振动装置引入的不确定度</w:t>
      </w:r>
    </w:p>
    <w:p>
      <w:pPr>
        <w:tabs>
          <w:tab w:val="left" w:pos="534"/>
        </w:tabs>
        <w:spacing w:line="360" w:lineRule="auto"/>
        <w:ind w:right="74" w:firstLine="480" w:firstLineChars="200"/>
        <w:rPr>
          <w:rFonts w:ascii="宋体" w:hAnsi="宋体"/>
          <w:sz w:val="24"/>
        </w:rPr>
      </w:pPr>
      <w:r>
        <w:rPr>
          <w:rFonts w:hint="eastAsia" w:ascii="宋体" w:hAnsi="宋体"/>
          <w:sz w:val="24"/>
        </w:rPr>
        <w:t>由比较法</w:t>
      </w:r>
      <w:r>
        <w:rPr>
          <w:rFonts w:hint="eastAsia"/>
          <w:sz w:val="24"/>
        </w:rPr>
        <w:t>标准振动装置的</w:t>
      </w:r>
      <w:r>
        <w:rPr>
          <w:rFonts w:hint="eastAsia" w:ascii="宋体" w:hAnsi="宋体"/>
          <w:sz w:val="24"/>
        </w:rPr>
        <w:t>不确定度在参考点1.0%，在通频带是2.0%，</w:t>
      </w:r>
      <w:r>
        <w:rPr>
          <w:position w:val="-6"/>
        </w:rPr>
        <w:object>
          <v:shape id="_x0000_i1062" o:spt="75" type="#_x0000_t75" style="height:13.5pt;width:28.5pt;" o:ole="t" filled="f" o:preferrelative="t" stroked="f" coordsize="21600,21600">
            <v:path/>
            <v:fill on="f" focussize="0,0"/>
            <v:stroke on="f" joinstyle="miter"/>
            <v:imagedata r:id="rId89" o:title=""/>
            <o:lock v:ext="edit" aspectratio="t"/>
            <w10:wrap type="none"/>
            <w10:anchorlock/>
          </v:shape>
          <o:OLEObject Type="Embed" ProgID="Equation.DSMT4" ShapeID="_x0000_i1062" DrawAspect="Content" ObjectID="_1468075764" r:id="rId88">
            <o:LockedField>false</o:LockedField>
          </o:OLEObject>
        </w:object>
      </w:r>
      <w:r>
        <w:rPr>
          <w:rFonts w:hint="eastAsia" w:ascii="宋体" w:hAnsi="宋体"/>
          <w:sz w:val="24"/>
        </w:rPr>
        <w:t>，得：</w:t>
      </w:r>
    </w:p>
    <w:p>
      <w:pPr>
        <w:tabs>
          <w:tab w:val="left" w:pos="534"/>
        </w:tabs>
        <w:spacing w:line="360" w:lineRule="auto"/>
        <w:ind w:right="72"/>
        <w:jc w:val="center"/>
        <w:rPr>
          <w:rFonts w:ascii="宋体" w:hAnsi="宋体"/>
          <w:sz w:val="24"/>
        </w:rPr>
      </w:pPr>
      <w:r>
        <w:rPr>
          <w:position w:val="-24"/>
        </w:rPr>
        <w:object>
          <v:shape id="_x0000_i1063" o:spt="75" type="#_x0000_t75" style="height:31.5pt;width:182.25pt;" o:ole="t" filled="f" o:preferrelative="t" stroked="f" coordsize="21600,21600">
            <v:path/>
            <v:fill on="f" focussize="0,0"/>
            <v:stroke on="f" joinstyle="miter"/>
            <v:imagedata r:id="rId91" o:title=""/>
            <o:lock v:ext="edit" aspectratio="t"/>
            <w10:wrap type="none"/>
            <w10:anchorlock/>
          </v:shape>
          <o:OLEObject Type="Embed" ProgID="Equation.DSMT4" ShapeID="_x0000_i1063" DrawAspect="Content" ObjectID="_1468075765" r:id="rId90">
            <o:LockedField>false</o:LockedField>
          </o:OLEObject>
        </w:object>
      </w:r>
    </w:p>
    <w:p>
      <w:pPr>
        <w:spacing w:line="360" w:lineRule="auto"/>
        <w:jc w:val="center"/>
        <w:rPr>
          <w:sz w:val="24"/>
        </w:rPr>
      </w:pPr>
      <w:r>
        <w:rPr>
          <w:position w:val="-24"/>
        </w:rPr>
        <w:object>
          <v:shape id="_x0000_i1064" o:spt="75" type="#_x0000_t75" style="height:31.5pt;width:159pt;" o:ole="t" filled="f" o:preferrelative="t" stroked="f" coordsize="21600,21600">
            <v:path/>
            <v:fill on="f" focussize="0,0"/>
            <v:stroke on="f" joinstyle="miter"/>
            <v:imagedata r:id="rId93" o:title=""/>
            <o:lock v:ext="edit" aspectratio="t"/>
            <w10:wrap type="none"/>
            <w10:anchorlock/>
          </v:shape>
          <o:OLEObject Type="Embed" ProgID="Equation.DSMT4" ShapeID="_x0000_i1064" DrawAspect="Content" ObjectID="_1468075766" r:id="rId92">
            <o:LockedField>false</o:LockedField>
          </o:OLEObject>
        </w:object>
      </w:r>
    </w:p>
    <w:p>
      <w:pPr>
        <w:spacing w:line="360" w:lineRule="auto"/>
        <w:rPr>
          <w:sz w:val="24"/>
        </w:rPr>
      </w:pPr>
      <w:r>
        <w:rPr>
          <w:rFonts w:hint="eastAsia"/>
          <w:sz w:val="24"/>
        </w:rPr>
        <w:t>C.3.2.2由其他标准器引入的不确定</w:t>
      </w:r>
    </w:p>
    <w:p>
      <w:pPr>
        <w:spacing w:line="360" w:lineRule="auto"/>
        <w:ind w:firstLine="480" w:firstLineChars="200"/>
        <w:rPr>
          <w:sz w:val="24"/>
        </w:rPr>
      </w:pPr>
      <w:r>
        <w:rPr>
          <w:rFonts w:hint="eastAsia"/>
          <w:sz w:val="24"/>
        </w:rPr>
        <w:t xml:space="preserve">由电流表的最大允许误差为±0.1%，得：      </w:t>
      </w:r>
    </w:p>
    <w:p>
      <w:pPr>
        <w:autoSpaceDE w:val="0"/>
        <w:autoSpaceDN w:val="0"/>
        <w:adjustRightInd w:val="0"/>
        <w:spacing w:line="360" w:lineRule="auto"/>
        <w:jc w:val="center"/>
        <w:rPr>
          <w:sz w:val="24"/>
        </w:rPr>
      </w:pPr>
      <w:r>
        <w:rPr>
          <w:position w:val="-28"/>
        </w:rPr>
        <w:object>
          <v:shape id="_x0000_i1065" o:spt="75" type="#_x0000_t75" style="height:32.25pt;width:114.75pt;" o:ole="t" filled="f" o:preferrelative="t" stroked="f" coordsize="21600,21600">
            <v:path/>
            <v:fill on="f" focussize="0,0"/>
            <v:stroke on="f" joinstyle="miter"/>
            <v:imagedata r:id="rId95" o:title=""/>
            <o:lock v:ext="edit" aspectratio="t"/>
            <w10:wrap type="none"/>
            <w10:anchorlock/>
          </v:shape>
          <o:OLEObject Type="Embed" ProgID="Equation.DSMT4" ShapeID="_x0000_i1065" DrawAspect="Content" ObjectID="_1468075767" r:id="rId94">
            <o:LockedField>false</o:LockedField>
          </o:OLEObject>
        </w:object>
      </w:r>
    </w:p>
    <w:p>
      <w:pPr>
        <w:spacing w:line="360" w:lineRule="auto"/>
        <w:rPr>
          <w:rFonts w:ascii="宋体" w:hAnsi="宋体"/>
          <w:bCs/>
          <w:sz w:val="24"/>
        </w:rPr>
      </w:pPr>
      <w:r>
        <w:rPr>
          <w:rFonts w:hint="eastAsia"/>
          <w:bCs/>
          <w:sz w:val="24"/>
        </w:rPr>
        <w:t>C</w:t>
      </w:r>
      <w:r>
        <w:rPr>
          <w:sz w:val="24"/>
        </w:rPr>
        <w:t>.</w:t>
      </w:r>
      <w:r>
        <w:rPr>
          <w:rFonts w:hint="eastAsia"/>
          <w:sz w:val="24"/>
        </w:rPr>
        <w:t>4</w:t>
      </w:r>
      <w:r>
        <w:rPr>
          <w:rFonts w:hint="eastAsia" w:ascii="宋体" w:hAnsi="宋体"/>
          <w:bCs/>
          <w:sz w:val="24"/>
        </w:rPr>
        <w:t>标准不确定度一览表</w:t>
      </w:r>
    </w:p>
    <w:p>
      <w:pPr>
        <w:spacing w:line="400" w:lineRule="exact"/>
        <w:ind w:firstLine="3150" w:firstLineChars="1500"/>
        <w:rPr>
          <w:rFonts w:ascii="宋体" w:hAnsi="宋体"/>
          <w:bCs/>
          <w:szCs w:val="21"/>
        </w:rPr>
      </w:pPr>
      <w:r>
        <w:rPr>
          <w:rFonts w:hint="eastAsia" w:ascii="宋体" w:hAnsi="宋体"/>
          <w:bCs/>
          <w:szCs w:val="21"/>
        </w:rPr>
        <w:t>表C.2</w:t>
      </w:r>
      <w:r>
        <w:rPr>
          <w:rFonts w:hint="eastAsia" w:ascii="黑体" w:eastAsia="黑体"/>
          <w:bCs/>
          <w:szCs w:val="21"/>
        </w:rPr>
        <w:t>标准不确定度一览表</w:t>
      </w:r>
    </w:p>
    <w:tbl>
      <w:tblPr>
        <w:tblStyle w:val="2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97"/>
        <w:gridCol w:w="2327"/>
        <w:gridCol w:w="938"/>
        <w:gridCol w:w="23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4518" w:type="dxa"/>
            <w:gridSpan w:val="3"/>
            <w:tcBorders>
              <w:top w:val="single" w:color="000000" w:sz="4" w:space="0"/>
              <w:left w:val="single" w:color="000000" w:sz="4" w:space="0"/>
              <w:bottom w:val="single" w:color="000000" w:sz="4" w:space="0"/>
              <w:right w:val="single" w:color="000000" w:sz="4" w:space="0"/>
            </w:tcBorders>
            <w:vAlign w:val="center"/>
          </w:tcPr>
          <w:p>
            <w:pPr>
              <w:ind w:right="105"/>
              <w:jc w:val="center"/>
              <w:rPr>
                <w:rFonts w:ascii="宋体" w:hAnsi="宋体"/>
                <w:szCs w:val="21"/>
              </w:rPr>
            </w:pPr>
            <w:r>
              <w:rPr>
                <w:rFonts w:hint="eastAsia" w:ascii="宋体" w:hAnsi="宋体"/>
                <w:szCs w:val="21"/>
              </w:rPr>
              <w:t>不确定度来源</w:t>
            </w:r>
          </w:p>
        </w:tc>
        <w:tc>
          <w:tcPr>
            <w:tcW w:w="938" w:type="dxa"/>
            <w:tcBorders>
              <w:top w:val="single" w:color="000000" w:sz="4" w:space="0"/>
              <w:left w:val="single" w:color="000000" w:sz="4" w:space="0"/>
              <w:bottom w:val="single" w:color="000000" w:sz="4" w:space="0"/>
              <w:right w:val="single" w:color="auto" w:sz="4" w:space="0"/>
            </w:tcBorders>
            <w:vAlign w:val="center"/>
          </w:tcPr>
          <w:p>
            <w:pPr>
              <w:ind w:right="105"/>
              <w:jc w:val="center"/>
              <w:rPr>
                <w:rFonts w:ascii="宋体" w:hAnsi="宋体"/>
                <w:szCs w:val="21"/>
              </w:rPr>
            </w:pPr>
            <w:r>
              <w:rPr>
                <w:rFonts w:hint="eastAsia" w:ascii="宋体" w:hAnsi="宋体"/>
                <w:szCs w:val="21"/>
              </w:rPr>
              <w:t>类别</w:t>
            </w:r>
          </w:p>
        </w:tc>
        <w:tc>
          <w:tcPr>
            <w:tcW w:w="2378" w:type="dxa"/>
            <w:tcBorders>
              <w:top w:val="single" w:color="000000" w:sz="4" w:space="0"/>
              <w:left w:val="single" w:color="auto" w:sz="4" w:space="0"/>
              <w:bottom w:val="single" w:color="000000" w:sz="4" w:space="0"/>
              <w:right w:val="single" w:color="auto" w:sz="4" w:space="0"/>
            </w:tcBorders>
            <w:vAlign w:val="center"/>
          </w:tcPr>
          <w:p>
            <w:pPr>
              <w:ind w:right="105"/>
              <w:jc w:val="center"/>
              <w:rPr>
                <w:rFonts w:ascii="宋体" w:hAnsi="宋体"/>
                <w:szCs w:val="21"/>
              </w:rPr>
            </w:pPr>
            <w:r>
              <w:rPr>
                <w:rFonts w:hint="eastAsia" w:ascii="宋体" w:hAnsi="宋体"/>
                <w:szCs w:val="21"/>
              </w:rPr>
              <w:t>不确定度分量/%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2191" w:type="dxa"/>
            <w:gridSpan w:val="2"/>
            <w:tcBorders>
              <w:top w:val="single" w:color="000000" w:sz="4" w:space="0"/>
              <w:left w:val="single" w:color="000000" w:sz="4" w:space="0"/>
              <w:bottom w:val="single" w:color="000000" w:sz="4" w:space="0"/>
              <w:right w:val="single" w:color="auto" w:sz="4" w:space="0"/>
            </w:tcBorders>
            <w:vAlign w:val="center"/>
          </w:tcPr>
          <w:p>
            <w:pPr>
              <w:ind w:right="105"/>
              <w:jc w:val="center"/>
              <w:rPr>
                <w:rFonts w:ascii="宋体" w:hAnsi="宋体"/>
                <w:szCs w:val="21"/>
              </w:rPr>
            </w:pPr>
            <w:r>
              <w:rPr>
                <w:position w:val="-14"/>
              </w:rPr>
              <w:object>
                <v:shape id="_x0000_i1066" o:spt="75" type="#_x0000_t75" style="height:18pt;width:21.75pt;" o:ole="t" filled="f" o:preferrelative="t" stroked="f" coordsize="21600,21600">
                  <v:path/>
                  <v:fill on="f" focussize="0,0"/>
                  <v:stroke on="f" joinstyle="miter"/>
                  <v:imagedata r:id="rId70" o:title=""/>
                  <o:lock v:ext="edit" aspectratio="t"/>
                  <w10:wrap type="none"/>
                  <w10:anchorlock/>
                </v:shape>
                <o:OLEObject Type="Embed" ProgID="Equation.DSMT4" ShapeID="_x0000_i1066" DrawAspect="Content" ObjectID="_1468075768" r:id="rId96">
                  <o:LockedField>false</o:LockedField>
                </o:OLEObject>
              </w:object>
            </w:r>
          </w:p>
        </w:tc>
        <w:tc>
          <w:tcPr>
            <w:tcW w:w="2327" w:type="dxa"/>
            <w:tcBorders>
              <w:top w:val="single" w:color="000000" w:sz="4" w:space="0"/>
              <w:left w:val="single" w:color="auto" w:sz="4" w:space="0"/>
              <w:bottom w:val="single" w:color="000000" w:sz="4" w:space="0"/>
              <w:right w:val="single" w:color="000000" w:sz="4" w:space="0"/>
            </w:tcBorders>
            <w:vAlign w:val="center"/>
          </w:tcPr>
          <w:p>
            <w:pPr>
              <w:ind w:right="105"/>
              <w:jc w:val="center"/>
              <w:rPr>
                <w:rFonts w:ascii="宋体" w:hAnsi="宋体"/>
                <w:szCs w:val="21"/>
              </w:rPr>
            </w:pPr>
            <w:r>
              <w:rPr>
                <w:rFonts w:hint="eastAsia" w:ascii="宋体" w:hAnsi="宋体"/>
                <w:szCs w:val="21"/>
              </w:rPr>
              <w:t>重复性</w:t>
            </w:r>
          </w:p>
        </w:tc>
        <w:tc>
          <w:tcPr>
            <w:tcW w:w="938" w:type="dxa"/>
            <w:tcBorders>
              <w:top w:val="single" w:color="000000" w:sz="4" w:space="0"/>
              <w:left w:val="single" w:color="000000" w:sz="4" w:space="0"/>
              <w:bottom w:val="single" w:color="000000" w:sz="4" w:space="0"/>
              <w:right w:val="single" w:color="auto" w:sz="4" w:space="0"/>
            </w:tcBorders>
            <w:vAlign w:val="center"/>
          </w:tcPr>
          <w:p>
            <w:pPr>
              <w:ind w:right="105"/>
              <w:jc w:val="center"/>
              <w:rPr>
                <w:rFonts w:ascii="宋体" w:hAnsi="宋体"/>
                <w:szCs w:val="21"/>
              </w:rPr>
            </w:pPr>
            <w:r>
              <w:rPr>
                <w:rFonts w:hint="eastAsia" w:ascii="宋体" w:hAnsi="宋体"/>
                <w:szCs w:val="21"/>
              </w:rPr>
              <w:t>A</w:t>
            </w:r>
          </w:p>
        </w:tc>
        <w:tc>
          <w:tcPr>
            <w:tcW w:w="2378" w:type="dxa"/>
            <w:tcBorders>
              <w:top w:val="single" w:color="000000" w:sz="4" w:space="0"/>
              <w:left w:val="single" w:color="auto" w:sz="4" w:space="0"/>
              <w:bottom w:val="single" w:color="000000" w:sz="4" w:space="0"/>
              <w:right w:val="single" w:color="auto" w:sz="4" w:space="0"/>
            </w:tcBorders>
            <w:vAlign w:val="center"/>
          </w:tcPr>
          <w:p>
            <w:pPr>
              <w:ind w:right="105"/>
              <w:jc w:val="center"/>
              <w:rPr>
                <w:rFonts w:ascii="宋体" w:hAnsi="宋体"/>
                <w:szCs w:val="21"/>
              </w:rPr>
            </w:pPr>
            <w:r>
              <w:rPr>
                <w:rFonts w:hint="eastAsia" w:ascii="宋体" w:hAnsi="宋体"/>
                <w:szCs w:val="21"/>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jc w:val="center"/>
        </w:trPr>
        <w:tc>
          <w:tcPr>
            <w:tcW w:w="994" w:type="dxa"/>
            <w:vMerge w:val="restart"/>
            <w:tcBorders>
              <w:top w:val="single" w:color="000000" w:sz="4" w:space="0"/>
              <w:left w:val="single" w:color="000000" w:sz="4" w:space="0"/>
              <w:right w:val="single" w:color="auto" w:sz="4" w:space="0"/>
            </w:tcBorders>
            <w:vAlign w:val="center"/>
          </w:tcPr>
          <w:p>
            <w:pPr>
              <w:ind w:right="105"/>
              <w:jc w:val="center"/>
              <w:rPr>
                <w:rFonts w:ascii="宋体" w:hAnsi="宋体"/>
                <w:szCs w:val="21"/>
              </w:rPr>
            </w:pPr>
            <w:r>
              <w:rPr>
                <w:position w:val="-14"/>
              </w:rPr>
              <w:object>
                <v:shape id="_x0000_i1067" o:spt="75" type="#_x0000_t75" style="height:18pt;width:23.25pt;" o:ole="t" filled="f" o:preferrelative="t" stroked="f" coordsize="21600,21600">
                  <v:path/>
                  <v:fill on="f" focussize="0,0"/>
                  <v:stroke on="f" joinstyle="miter"/>
                  <v:imagedata r:id="rId87" o:title=""/>
                  <o:lock v:ext="edit" aspectratio="t"/>
                  <w10:wrap type="none"/>
                  <w10:anchorlock/>
                </v:shape>
                <o:OLEObject Type="Embed" ProgID="Equation.DSMT4" ShapeID="_x0000_i1067" DrawAspect="Content" ObjectID="_1468075769" r:id="rId97">
                  <o:LockedField>false</o:LockedField>
                </o:OLEObject>
              </w:object>
            </w:r>
          </w:p>
        </w:tc>
        <w:tc>
          <w:tcPr>
            <w:tcW w:w="1197" w:type="dxa"/>
            <w:vMerge w:val="restart"/>
            <w:tcBorders>
              <w:top w:val="single" w:color="000000" w:sz="4" w:space="0"/>
              <w:left w:val="single" w:color="000000" w:sz="4" w:space="0"/>
              <w:right w:val="single" w:color="auto" w:sz="4" w:space="0"/>
            </w:tcBorders>
            <w:vAlign w:val="center"/>
          </w:tcPr>
          <w:p>
            <w:pPr>
              <w:ind w:right="105"/>
              <w:jc w:val="center"/>
              <w:rPr>
                <w:rFonts w:ascii="宋体" w:hAnsi="宋体"/>
                <w:szCs w:val="21"/>
              </w:rPr>
            </w:pPr>
            <w:r>
              <w:rPr>
                <w:position w:val="-14"/>
              </w:rPr>
              <w:object>
                <v:shape id="_x0000_i1068" o:spt="75" type="#_x0000_t75" style="height:18pt;width:25.5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70" r:id="rId98">
                  <o:LockedField>false</o:LockedField>
                </o:OLEObject>
              </w:object>
            </w:r>
          </w:p>
        </w:tc>
        <w:tc>
          <w:tcPr>
            <w:tcW w:w="2327" w:type="dxa"/>
            <w:vMerge w:val="restart"/>
            <w:tcBorders>
              <w:top w:val="single" w:color="000000" w:sz="4" w:space="0"/>
              <w:left w:val="single" w:color="auto" w:sz="4" w:space="0"/>
              <w:right w:val="single" w:color="000000" w:sz="4" w:space="0"/>
            </w:tcBorders>
            <w:vAlign w:val="center"/>
          </w:tcPr>
          <w:p>
            <w:pPr>
              <w:ind w:right="105"/>
              <w:jc w:val="center"/>
              <w:rPr>
                <w:rFonts w:ascii="宋体" w:hAnsi="宋体"/>
                <w:szCs w:val="21"/>
              </w:rPr>
            </w:pPr>
            <w:r>
              <w:rPr>
                <w:rFonts w:hint="eastAsia" w:ascii="宋体" w:hAnsi="宋体"/>
                <w:szCs w:val="21"/>
              </w:rPr>
              <w:t>标准振动装置</w:t>
            </w:r>
          </w:p>
        </w:tc>
        <w:tc>
          <w:tcPr>
            <w:tcW w:w="938" w:type="dxa"/>
            <w:vMerge w:val="restart"/>
            <w:tcBorders>
              <w:top w:val="single" w:color="000000" w:sz="4" w:space="0"/>
              <w:left w:val="single" w:color="000000" w:sz="4" w:space="0"/>
              <w:right w:val="single" w:color="auto" w:sz="4" w:space="0"/>
            </w:tcBorders>
            <w:vAlign w:val="center"/>
          </w:tcPr>
          <w:p>
            <w:pPr>
              <w:ind w:right="105"/>
              <w:jc w:val="center"/>
              <w:rPr>
                <w:rFonts w:ascii="宋体" w:hAnsi="宋体"/>
                <w:szCs w:val="21"/>
              </w:rPr>
            </w:pPr>
            <w:r>
              <w:rPr>
                <w:rFonts w:hint="eastAsia" w:ascii="宋体" w:hAnsi="宋体"/>
                <w:szCs w:val="21"/>
              </w:rPr>
              <w:t>B</w:t>
            </w:r>
          </w:p>
        </w:tc>
        <w:tc>
          <w:tcPr>
            <w:tcW w:w="2378" w:type="dxa"/>
            <w:tcBorders>
              <w:top w:val="single" w:color="000000" w:sz="4" w:space="0"/>
              <w:left w:val="single" w:color="auto" w:sz="4" w:space="0"/>
              <w:bottom w:val="single" w:color="auto" w:sz="4" w:space="0"/>
              <w:right w:val="single" w:color="auto" w:sz="4" w:space="0"/>
            </w:tcBorders>
            <w:vAlign w:val="center"/>
          </w:tcPr>
          <w:p>
            <w:pPr>
              <w:ind w:right="105"/>
              <w:jc w:val="center"/>
              <w:rPr>
                <w:rFonts w:ascii="宋体" w:hAnsi="宋体"/>
                <w:szCs w:val="21"/>
              </w:rPr>
            </w:pPr>
            <w:r>
              <w:rPr>
                <w:rFonts w:hint="eastAsia" w:ascii="宋体" w:hAnsi="宋体"/>
                <w:szCs w:val="21"/>
              </w:rPr>
              <w:t>0.5（参考点）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994" w:type="dxa"/>
            <w:vMerge w:val="continue"/>
            <w:tcBorders>
              <w:left w:val="single" w:color="000000" w:sz="4" w:space="0"/>
              <w:right w:val="single" w:color="auto" w:sz="4" w:space="0"/>
            </w:tcBorders>
            <w:vAlign w:val="center"/>
          </w:tcPr>
          <w:p>
            <w:pPr>
              <w:ind w:right="105"/>
              <w:jc w:val="center"/>
              <w:rPr>
                <w:position w:val="-14"/>
              </w:rPr>
            </w:pPr>
          </w:p>
        </w:tc>
        <w:tc>
          <w:tcPr>
            <w:tcW w:w="1197" w:type="dxa"/>
            <w:vMerge w:val="continue"/>
            <w:tcBorders>
              <w:left w:val="single" w:color="000000" w:sz="4" w:space="0"/>
              <w:bottom w:val="single" w:color="auto" w:sz="4" w:space="0"/>
              <w:right w:val="single" w:color="auto" w:sz="4" w:space="0"/>
            </w:tcBorders>
            <w:vAlign w:val="center"/>
          </w:tcPr>
          <w:p>
            <w:pPr>
              <w:ind w:right="105"/>
              <w:jc w:val="center"/>
              <w:rPr>
                <w:position w:val="-14"/>
              </w:rPr>
            </w:pPr>
          </w:p>
        </w:tc>
        <w:tc>
          <w:tcPr>
            <w:tcW w:w="2327" w:type="dxa"/>
            <w:vMerge w:val="continue"/>
            <w:tcBorders>
              <w:left w:val="single" w:color="auto" w:sz="4" w:space="0"/>
              <w:bottom w:val="single" w:color="auto" w:sz="4" w:space="0"/>
              <w:right w:val="single" w:color="000000" w:sz="4" w:space="0"/>
            </w:tcBorders>
            <w:vAlign w:val="center"/>
          </w:tcPr>
          <w:p>
            <w:pPr>
              <w:ind w:right="105"/>
              <w:jc w:val="center"/>
              <w:rPr>
                <w:rFonts w:ascii="宋体" w:hAnsi="宋体"/>
                <w:szCs w:val="21"/>
              </w:rPr>
            </w:pPr>
          </w:p>
        </w:tc>
        <w:tc>
          <w:tcPr>
            <w:tcW w:w="938" w:type="dxa"/>
            <w:vMerge w:val="continue"/>
            <w:tcBorders>
              <w:left w:val="single" w:color="000000" w:sz="4" w:space="0"/>
              <w:bottom w:val="single" w:color="auto" w:sz="4" w:space="0"/>
              <w:right w:val="single" w:color="auto" w:sz="4" w:space="0"/>
            </w:tcBorders>
            <w:vAlign w:val="center"/>
          </w:tcPr>
          <w:p>
            <w:pPr>
              <w:ind w:right="105"/>
              <w:jc w:val="center"/>
              <w:rPr>
                <w:rFonts w:ascii="宋体" w:hAnsi="宋体"/>
                <w:szCs w:val="21"/>
              </w:rPr>
            </w:pPr>
          </w:p>
        </w:tc>
        <w:tc>
          <w:tcPr>
            <w:tcW w:w="2378" w:type="dxa"/>
            <w:tcBorders>
              <w:top w:val="single" w:color="auto" w:sz="4" w:space="0"/>
              <w:left w:val="single" w:color="auto" w:sz="4" w:space="0"/>
              <w:bottom w:val="single" w:color="auto" w:sz="4" w:space="0"/>
              <w:right w:val="single" w:color="auto" w:sz="4" w:space="0"/>
            </w:tcBorders>
            <w:vAlign w:val="center"/>
          </w:tcPr>
          <w:p>
            <w:pPr>
              <w:ind w:right="105"/>
              <w:jc w:val="center"/>
              <w:rPr>
                <w:rFonts w:ascii="宋体" w:hAnsi="宋体"/>
                <w:szCs w:val="21"/>
              </w:rPr>
            </w:pPr>
            <w:r>
              <w:rPr>
                <w:rFonts w:hint="eastAsia" w:ascii="宋体" w:hAnsi="宋体"/>
                <w:szCs w:val="21"/>
              </w:rPr>
              <w:t>1.0（通频带）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jc w:val="center"/>
        </w:trPr>
        <w:tc>
          <w:tcPr>
            <w:tcW w:w="994" w:type="dxa"/>
            <w:vMerge w:val="continue"/>
            <w:tcBorders>
              <w:left w:val="single" w:color="000000" w:sz="4" w:space="0"/>
              <w:right w:val="single" w:color="auto" w:sz="4" w:space="0"/>
            </w:tcBorders>
            <w:vAlign w:val="center"/>
          </w:tcPr>
          <w:p>
            <w:pPr>
              <w:ind w:right="105"/>
              <w:jc w:val="center"/>
              <w:rPr>
                <w:rFonts w:ascii="宋体" w:hAnsi="宋体"/>
                <w:szCs w:val="21"/>
              </w:rPr>
            </w:pPr>
          </w:p>
        </w:tc>
        <w:tc>
          <w:tcPr>
            <w:tcW w:w="1197" w:type="dxa"/>
            <w:tcBorders>
              <w:top w:val="single" w:color="auto" w:sz="4" w:space="0"/>
              <w:left w:val="single" w:color="000000" w:sz="4" w:space="0"/>
              <w:bottom w:val="single" w:color="auto" w:sz="4" w:space="0"/>
              <w:right w:val="single" w:color="auto" w:sz="4" w:space="0"/>
            </w:tcBorders>
            <w:vAlign w:val="center"/>
          </w:tcPr>
          <w:p>
            <w:pPr>
              <w:ind w:right="105"/>
              <w:jc w:val="center"/>
              <w:rPr>
                <w:rFonts w:ascii="宋体" w:hAnsi="宋体"/>
                <w:szCs w:val="21"/>
              </w:rPr>
            </w:pPr>
            <w:r>
              <w:rPr>
                <w:position w:val="-14"/>
              </w:rPr>
              <w:object>
                <v:shape id="_x0000_i1069" o:spt="75" type="#_x0000_t75" style="height:18pt;width:25.5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71" r:id="rId100">
                  <o:LockedField>false</o:LockedField>
                </o:OLEObject>
              </w:object>
            </w:r>
          </w:p>
        </w:tc>
        <w:tc>
          <w:tcPr>
            <w:tcW w:w="2327" w:type="dxa"/>
            <w:tcBorders>
              <w:top w:val="single" w:color="auto" w:sz="4" w:space="0"/>
              <w:left w:val="single" w:color="auto" w:sz="4" w:space="0"/>
              <w:bottom w:val="single" w:color="auto" w:sz="4" w:space="0"/>
              <w:right w:val="single" w:color="000000" w:sz="4" w:space="0"/>
            </w:tcBorders>
            <w:vAlign w:val="center"/>
          </w:tcPr>
          <w:p>
            <w:pPr>
              <w:ind w:right="105"/>
              <w:jc w:val="center"/>
              <w:rPr>
                <w:rFonts w:ascii="宋体" w:hAnsi="宋体"/>
                <w:szCs w:val="21"/>
              </w:rPr>
            </w:pPr>
            <w:r>
              <w:rPr>
                <w:rFonts w:hint="eastAsia" w:ascii="宋体" w:hAnsi="宋体"/>
                <w:szCs w:val="21"/>
              </w:rPr>
              <w:t>电流表最大允许误差</w:t>
            </w:r>
          </w:p>
        </w:tc>
        <w:tc>
          <w:tcPr>
            <w:tcW w:w="938" w:type="dxa"/>
            <w:tcBorders>
              <w:top w:val="single" w:color="auto" w:sz="4" w:space="0"/>
              <w:left w:val="single" w:color="000000" w:sz="4" w:space="0"/>
              <w:bottom w:val="single" w:color="auto" w:sz="4" w:space="0"/>
              <w:right w:val="single" w:color="auto" w:sz="4" w:space="0"/>
            </w:tcBorders>
            <w:vAlign w:val="center"/>
          </w:tcPr>
          <w:p>
            <w:pPr>
              <w:ind w:right="105"/>
              <w:jc w:val="center"/>
              <w:rPr>
                <w:rFonts w:ascii="宋体" w:hAnsi="宋体"/>
                <w:szCs w:val="21"/>
              </w:rPr>
            </w:pPr>
            <w:r>
              <w:rPr>
                <w:rFonts w:hint="eastAsia" w:ascii="宋体" w:hAnsi="宋体"/>
                <w:szCs w:val="21"/>
              </w:rPr>
              <w:t>B</w:t>
            </w:r>
          </w:p>
        </w:tc>
        <w:tc>
          <w:tcPr>
            <w:tcW w:w="2378" w:type="dxa"/>
            <w:tcBorders>
              <w:top w:val="single" w:color="auto" w:sz="4" w:space="0"/>
              <w:left w:val="single" w:color="auto" w:sz="4" w:space="0"/>
              <w:bottom w:val="single" w:color="auto" w:sz="4" w:space="0"/>
              <w:right w:val="single" w:color="auto" w:sz="4" w:space="0"/>
            </w:tcBorders>
            <w:vAlign w:val="center"/>
          </w:tcPr>
          <w:p>
            <w:pPr>
              <w:ind w:right="105"/>
              <w:jc w:val="center"/>
              <w:rPr>
                <w:rFonts w:ascii="宋体" w:hAnsi="宋体"/>
                <w:szCs w:val="21"/>
              </w:rPr>
            </w:pPr>
            <w:r>
              <w:rPr>
                <w:rFonts w:hint="eastAsia" w:ascii="宋体" w:hAnsi="宋体"/>
                <w:szCs w:val="21"/>
              </w:rPr>
              <w:t>0.058</w:t>
            </w:r>
          </w:p>
        </w:tc>
      </w:tr>
    </w:tbl>
    <w:p>
      <w:pPr>
        <w:spacing w:line="360" w:lineRule="auto"/>
        <w:ind w:firstLine="480" w:firstLineChars="200"/>
        <w:rPr>
          <w:rFonts w:ascii="宋体" w:hAnsi="宋体"/>
          <w:bCs/>
          <w:sz w:val="24"/>
        </w:rPr>
      </w:pPr>
      <w:r>
        <w:rPr>
          <w:rFonts w:hint="eastAsia" w:ascii="宋体" w:hAnsi="宋体"/>
          <w:bCs/>
          <w:sz w:val="24"/>
        </w:rPr>
        <w:t>由于表C</w:t>
      </w:r>
      <w:r>
        <w:rPr>
          <w:rFonts w:ascii="宋体" w:hAnsi="宋体"/>
          <w:bCs/>
          <w:sz w:val="24"/>
        </w:rPr>
        <w:t>.2</w:t>
      </w:r>
      <w:r>
        <w:rPr>
          <w:rFonts w:hint="eastAsia" w:ascii="宋体" w:hAnsi="宋体"/>
          <w:bCs/>
          <w:sz w:val="24"/>
        </w:rPr>
        <w:t>中各分量独立无关，故合成标准不确定度为</w:t>
      </w:r>
    </w:p>
    <w:p>
      <w:pPr>
        <w:spacing w:line="360" w:lineRule="auto"/>
        <w:jc w:val="center"/>
        <w:rPr>
          <w:rFonts w:ascii="宋体" w:hAnsi="宋体"/>
          <w:bCs/>
          <w:sz w:val="24"/>
        </w:rPr>
      </w:pPr>
      <w:r>
        <w:rPr>
          <w:position w:val="-16"/>
        </w:rPr>
        <w:object>
          <v:shape id="_x0000_i1070" o:spt="75" type="#_x0000_t75" style="height:24.75pt;width:270.75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2" r:id="rId102">
            <o:LockedField>false</o:LockedField>
          </o:OLEObject>
        </w:object>
      </w:r>
    </w:p>
    <w:p>
      <w:pPr>
        <w:spacing w:line="360" w:lineRule="auto"/>
        <w:ind w:right="105" w:firstLine="405"/>
        <w:jc w:val="center"/>
        <w:rPr>
          <w:sz w:val="24"/>
        </w:rPr>
      </w:pPr>
      <w:r>
        <w:rPr>
          <w:position w:val="-16"/>
        </w:rPr>
        <w:object>
          <v:shape id="_x0000_i1071" o:spt="75" type="#_x0000_t75" style="height:24.75pt;width:270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3" r:id="rId104">
            <o:LockedField>false</o:LockedField>
          </o:OLEObject>
        </w:object>
      </w:r>
    </w:p>
    <w:p>
      <w:pPr>
        <w:spacing w:line="360" w:lineRule="auto"/>
        <w:ind w:right="105" w:firstLine="405"/>
        <w:rPr>
          <w:sz w:val="24"/>
        </w:rPr>
      </w:pPr>
      <w:r>
        <w:rPr>
          <w:rFonts w:hint="eastAsia"/>
          <w:sz w:val="24"/>
        </w:rPr>
        <w:t>取包含因子</w:t>
      </w:r>
      <w:r>
        <w:rPr>
          <w:i/>
          <w:sz w:val="24"/>
        </w:rPr>
        <w:t>k</w:t>
      </w:r>
      <w:r>
        <w:rPr>
          <w:sz w:val="24"/>
        </w:rPr>
        <w:t>=2,</w:t>
      </w:r>
      <w:r>
        <w:rPr>
          <w:rFonts w:hint="eastAsia"/>
          <w:sz w:val="24"/>
        </w:rPr>
        <w:t>则测量结果的相对扩展不确定度为</w:t>
      </w:r>
    </w:p>
    <w:p>
      <w:pPr>
        <w:spacing w:line="360" w:lineRule="auto"/>
        <w:ind w:firstLine="2940" w:firstLineChars="1400"/>
        <w:rPr>
          <w:position w:val="-12"/>
        </w:rPr>
      </w:pPr>
      <w:r>
        <w:rPr>
          <w:position w:val="-12"/>
        </w:rPr>
        <w:object>
          <v:shape id="_x0000_i1072" o:spt="75" type="#_x0000_t75" style="height:18pt;width:166.5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4" r:id="rId106">
            <o:LockedField>false</o:LockedField>
          </o:OLEObject>
        </w:object>
      </w:r>
    </w:p>
    <w:p>
      <w:pPr>
        <w:spacing w:line="360" w:lineRule="auto"/>
        <w:ind w:firstLine="2940" w:firstLineChars="1400"/>
        <w:rPr>
          <w:position w:val="-12"/>
        </w:rPr>
      </w:pPr>
      <w:r>
        <w:rPr>
          <w:position w:val="-12"/>
        </w:rPr>
        <w:object>
          <v:shape id="_x0000_i1073" o:spt="75" type="#_x0000_t75" style="height:18pt;width:168pt;" o:ole="t" filled="f" o:preferrelative="t" stroked="f" coordsize="21600,21600">
            <v:path/>
            <v:fill on="f" focussize="0,0"/>
            <v:stroke on="f" joinstyle="miter"/>
            <v:imagedata r:id="rId109" o:title=""/>
            <o:lock v:ext="edit" aspectratio="t"/>
            <w10:wrap type="none"/>
            <w10:anchorlock/>
          </v:shape>
          <o:OLEObject Type="Embed" ProgID="Equation.DSMT4" ShapeID="_x0000_i1073" DrawAspect="Content" ObjectID="_1468075775" r:id="rId108">
            <o:LockedField>false</o:LockedField>
          </o:OLEObject>
        </w:object>
      </w:r>
    </w:p>
    <w:p>
      <w:pPr>
        <w:snapToGrid w:val="0"/>
        <w:spacing w:line="480" w:lineRule="auto"/>
        <w:jc w:val="center"/>
        <w:rPr>
          <w:rFonts w:asciiTheme="minorEastAsia" w:hAnsiTheme="minorEastAsia" w:eastAsiaTheme="minorEastAsia"/>
          <w:sz w:val="24"/>
        </w:rPr>
      </w:pPr>
      <w:r>
        <w:rPr>
          <w:rFonts w:asciiTheme="minorEastAsia" w:hAnsiTheme="minorEastAsia" w:eastAsiaTheme="minorEastAsia"/>
          <w:sz w:val="24"/>
        </w:rPr>
        <w:pict>
          <v:shape id="AutoShape 1098" o:spid="_x0000_s2035" o:spt="32" type="#_x0000_t32" style="position:absolute;left:0pt;margin-left:131.5pt;margin-top:17.75pt;height:0pt;width:182.75pt;z-index:25166848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">
            <v:path arrowok="t"/>
            <v:fill on="f" focussize="0,0"/>
            <v:stroke/>
            <v:imagedata o:title=""/>
            <o:lock v:ext="edit"/>
          </v:shape>
        </w:pict>
      </w:r>
    </w:p>
    <w:sectPr>
      <w:footerReference r:id="rId12" w:type="first"/>
      <w:footerReference r:id="rId11" w:type="default"/>
      <w:pgSz w:w="11906" w:h="16838"/>
      <w:pgMar w:top="1701" w:right="1418" w:bottom="1020" w:left="1418" w:header="1400"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Gungsuh">
    <w:altName w:val="Malgun Gothic"/>
    <w:panose1 w:val="02030600000101010101"/>
    <w:charset w:val="81"/>
    <w:family w:val="roman"/>
    <w:pitch w:val="default"/>
    <w:sig w:usb0="00000000" w:usb1="00000000" w:usb2="00000030" w:usb3="00000000" w:csb0="0008009F" w:csb1="00000000"/>
  </w:font>
  <w:font w:name="方正小标宋简体">
    <w:altName w:val="方正舒体"/>
    <w:panose1 w:val="00000000000000000000"/>
    <w:charset w:val="86"/>
    <w:family w:val="script"/>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方正舒体">
    <w:panose1 w:val="02010601030101010101"/>
    <w:charset w:val="86"/>
    <w:family w:val="auto"/>
    <w:pitch w:val="default"/>
    <w:sig w:usb0="00000003"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sz w:val="24"/>
        <w:szCs w:val="24"/>
      </w:rPr>
    </w:pPr>
    <w:r>
      <w:rPr>
        <w:sz w:val="24"/>
      </w:rPr>
      <w:pict>
        <v:shape id="Text Box 1" o:spid="_x0000_s2052" o:spt="202" type="#_x0000_t202" style="position:absolute;left:0pt;margin-top:0pt;height:10.35pt;width:6pt;mso-position-horizontal:right;mso-position-horizontal-relative:margin;mso-wrap-style:none;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8360"/>
        <w:tab w:val="clear" w:pos="4153"/>
      </w:tabs>
    </w:pPr>
    <w:r>
      <w:pict>
        <v:shape id="Text Box 2" o:spid="_x0000_s2051" o:spt="202" type="#_x0000_t202" style="position:absolute;left:0pt;margin-top:0pt;height:10.35pt;width:3pt;mso-position-horizontal:right;mso-position-horizontal-relative:margin;mso-wrap-style:none;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v:textbox>
        </v:shape>
      </w:pic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sz w:val="24"/>
        <w:szCs w:val="24"/>
      </w:rPr>
    </w:pPr>
    <w:r>
      <w:rPr>
        <w:sz w:val="24"/>
      </w:rPr>
      <w:pict>
        <v:shape id="文本框277" o:spid="_x0000_s2050" o:spt="202" type="#_x0000_t202" style="position:absolute;left:0pt;margin-top:0pt;height:10.35pt;width:4.55pt;mso-position-horizontal:right;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文本框278" o:spid="_x0000_s2049" o:spt="202" type="#_x0000_t202" style="position:absolute;left:0pt;margin-top:0pt;height:10.35pt;width:4.55pt;mso-position-horizontal:right;mso-position-horizontal-relative:margin;mso-wrap-style:none;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GnxvAIAAK4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 xml:space="preserve">JJF </w:t>
    </w:r>
    <w:r>
      <w:rPr>
        <w:rFonts w:eastAsia="黑体"/>
        <w:sz w:val="24"/>
      </w:rPr>
      <w:t>××××</w:t>
    </w:r>
    <w:r>
      <w:rPr>
        <w:rFonts w:hint="eastAsia"/>
      </w:rPr>
      <w:t>-20</w:t>
    </w:r>
    <w:r>
      <w:rPr>
        <w:rFonts w:eastAsia="黑体"/>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黑体" w:hAnsi="黑体" w:eastAsia="黑体"/>
        <w:sz w:val="21"/>
        <w:szCs w:val="21"/>
      </w:rPr>
    </w:pPr>
    <w:r>
      <w:rPr>
        <w:rFonts w:hint="eastAsia" w:ascii="黑体" w:hAnsi="黑体" w:eastAsia="黑体"/>
        <w:sz w:val="21"/>
        <w:szCs w:val="21"/>
      </w:rPr>
      <w:t xml:space="preserve">JJF </w:t>
    </w:r>
    <w:r>
      <w:rPr>
        <w:rFonts w:ascii="黑体" w:hAnsi="黑体" w:eastAsia="黑体"/>
        <w:sz w:val="21"/>
        <w:szCs w:val="21"/>
      </w:rPr>
      <w:t>××××</w:t>
    </w:r>
    <w:r>
      <w:rPr>
        <w:rFonts w:hint="eastAsia" w:ascii="黑体" w:hAnsi="黑体" w:eastAsia="黑体"/>
        <w:sz w:val="21"/>
        <w:szCs w:val="21"/>
      </w:rPr>
      <w:t>-20</w:t>
    </w:r>
    <w:r>
      <w:rPr>
        <w:rFonts w:ascii="黑体" w:hAns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黑体" w:hAnsi="黑体" w:eastAsia="黑体"/>
        <w:sz w:val="21"/>
        <w:szCs w:val="21"/>
      </w:rPr>
    </w:pPr>
    <w:r>
      <w:rPr>
        <w:rFonts w:hint="eastAsia" w:ascii="黑体" w:hAnsi="黑体" w:eastAsia="黑体"/>
        <w:sz w:val="21"/>
        <w:szCs w:val="21"/>
      </w:rPr>
      <w:t xml:space="preserve">JJF </w:t>
    </w:r>
    <w:r>
      <w:rPr>
        <w:rFonts w:ascii="黑体" w:hAnsi="黑体" w:eastAsia="黑体"/>
        <w:sz w:val="21"/>
        <w:szCs w:val="21"/>
      </w:rPr>
      <w:t>××××</w:t>
    </w:r>
    <w:r>
      <w:rPr>
        <w:rFonts w:hint="eastAsia" w:ascii="黑体" w:hAnsi="黑体" w:eastAsia="黑体"/>
        <w:sz w:val="21"/>
        <w:szCs w:val="21"/>
      </w:rPr>
      <w:t>-20</w:t>
    </w:r>
    <w:r>
      <w:rPr>
        <w:rFonts w:ascii="黑体" w:hAnsi="黑体" w:eastAsia="黑体"/>
        <w:sz w:val="21"/>
        <w:szCs w:val="21"/>
      </w:rPr>
      <w:t>××</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upperLetter"/>
      <w:pStyle w:val="39"/>
      <w:suff w:val="nothing"/>
      <w:lvlText w:val="附　录　%1"/>
      <w:lvlJc w:val="left"/>
      <w:pPr>
        <w:ind w:left="0" w:firstLine="0"/>
      </w:pPr>
      <w:rPr>
        <w:rFonts w:hint="eastAsia" w:ascii="黑体" w:hAnsi="Times New Roman" w:eastAsia="黑体"/>
        <w:b w:val="0"/>
        <w:i w:val="0"/>
        <w:sz w:val="21"/>
      </w:rPr>
    </w:lvl>
    <w:lvl w:ilvl="1" w:tentative="0">
      <w:start w:val="1"/>
      <w:numFmt w:val="decimal"/>
      <w:pStyle w:val="31"/>
      <w:suff w:val="nothing"/>
      <w:lvlText w:val="%1.%2　"/>
      <w:lvlJc w:val="left"/>
      <w:pPr>
        <w:ind w:left="1260" w:firstLine="0"/>
      </w:pPr>
      <w:rPr>
        <w:rFonts w:hint="eastAsia" w:ascii="黑体" w:hAnsi="Times New Roman" w:eastAsia="黑体"/>
        <w:b w:val="0"/>
        <w:i w:val="0"/>
        <w:snapToGrid/>
        <w:spacing w:val="0"/>
        <w:w w:val="100"/>
        <w:kern w:val="21"/>
        <w:sz w:val="21"/>
      </w:rPr>
    </w:lvl>
    <w:lvl w:ilvl="2" w:tentative="0">
      <w:start w:val="1"/>
      <w:numFmt w:val="decimal"/>
      <w:pStyle w:val="37"/>
      <w:suff w:val="nothing"/>
      <w:lvlText w:val="%1.%2.%3　"/>
      <w:lvlJc w:val="left"/>
      <w:pPr>
        <w:ind w:left="0" w:firstLine="0"/>
      </w:pPr>
      <w:rPr>
        <w:rFonts w:hint="eastAsia" w:ascii="黑体" w:hAnsi="Times New Roman" w:eastAsia="黑体"/>
        <w:b w:val="0"/>
        <w:i w:val="0"/>
        <w:sz w:val="21"/>
      </w:rPr>
    </w:lvl>
    <w:lvl w:ilvl="3" w:tentative="0">
      <w:start w:val="1"/>
      <w:numFmt w:val="decimal"/>
      <w:pStyle w:val="36"/>
      <w:suff w:val="nothing"/>
      <w:lvlText w:val="%1.%2.%3.%4　"/>
      <w:lvlJc w:val="left"/>
      <w:pPr>
        <w:ind w:left="0" w:firstLine="0"/>
      </w:pPr>
      <w:rPr>
        <w:rFonts w:hint="eastAsia" w:ascii="黑体" w:hAnsi="Times New Roman" w:eastAsia="黑体"/>
        <w:b w:val="0"/>
        <w:i w:val="0"/>
        <w:sz w:val="21"/>
      </w:rPr>
    </w:lvl>
    <w:lvl w:ilvl="4" w:tentative="0">
      <w:start w:val="1"/>
      <w:numFmt w:val="decimal"/>
      <w:pStyle w:val="35"/>
      <w:suff w:val="nothing"/>
      <w:lvlText w:val="%1.%2.%3.%4.%5　"/>
      <w:lvlJc w:val="left"/>
      <w:pPr>
        <w:ind w:left="0" w:firstLine="0"/>
      </w:pPr>
      <w:rPr>
        <w:rFonts w:hint="eastAsia" w:ascii="黑体" w:hAnsi="Times New Roman" w:eastAsia="黑体"/>
        <w:b w:val="0"/>
        <w:i w:val="0"/>
        <w:sz w:val="21"/>
      </w:rPr>
    </w:lvl>
    <w:lvl w:ilvl="5" w:tentative="0">
      <w:start w:val="1"/>
      <w:numFmt w:val="decimal"/>
      <w:pStyle w:val="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54C70AF2"/>
    <w:multiLevelType w:val="multilevel"/>
    <w:tmpl w:val="54C70AF2"/>
    <w:lvl w:ilvl="0" w:tentative="0">
      <w:start w:val="7"/>
      <w:numFmt w:val="decimal"/>
      <w:pStyle w:val="42"/>
      <w:lvlText w:val="%1"/>
      <w:lvlJc w:val="left"/>
      <w:pPr>
        <w:tabs>
          <w:tab w:val="left" w:pos="360"/>
        </w:tabs>
        <w:ind w:left="360" w:hanging="360"/>
      </w:pPr>
      <w:rPr>
        <w:rFonts w:cs="Times New Roman"/>
      </w:rPr>
    </w:lvl>
    <w:lvl w:ilvl="1" w:tentative="0">
      <w:start w:val="1"/>
      <w:numFmt w:val="decimal"/>
      <w:isLgl/>
      <w:lvlText w:val="%1.%2"/>
      <w:lvlJc w:val="left"/>
      <w:pPr>
        <w:tabs>
          <w:tab w:val="left" w:pos="567"/>
        </w:tabs>
        <w:ind w:left="567" w:hanging="567"/>
      </w:pPr>
      <w:rPr>
        <w:rFonts w:hint="default" w:ascii="Times New Roman" w:hAnsi="Times New Roman" w:cs="Times New Roman"/>
      </w:rPr>
    </w:lvl>
    <w:lvl w:ilvl="2" w:tentative="0">
      <w:start w:val="1"/>
      <w:numFmt w:val="decimal"/>
      <w:isLgl/>
      <w:lvlText w:val="%1.%2.%3"/>
      <w:lvlJc w:val="left"/>
      <w:pPr>
        <w:tabs>
          <w:tab w:val="left" w:pos="720"/>
        </w:tabs>
        <w:ind w:left="720" w:hanging="720"/>
      </w:pPr>
      <w:rPr>
        <w:rFonts w:cs="Times New Roman"/>
      </w:rPr>
    </w:lvl>
    <w:lvl w:ilvl="3" w:tentative="0">
      <w:start w:val="1"/>
      <w:numFmt w:val="decimal"/>
      <w:isLgl/>
      <w:lvlText w:val="%1.%2.%3.%4"/>
      <w:lvlJc w:val="left"/>
      <w:pPr>
        <w:tabs>
          <w:tab w:val="left" w:pos="851"/>
        </w:tabs>
        <w:ind w:left="851" w:hanging="851"/>
      </w:pPr>
      <w:rPr>
        <w:rFonts w:cs="Times New Roman"/>
      </w:rPr>
    </w:lvl>
    <w:lvl w:ilvl="4" w:tentative="0">
      <w:start w:val="1"/>
      <w:numFmt w:val="decimal"/>
      <w:isLgl/>
      <w:lvlText w:val="%1.%2.%3.%4.%5"/>
      <w:lvlJc w:val="left"/>
      <w:pPr>
        <w:tabs>
          <w:tab w:val="left" w:pos="1080"/>
        </w:tabs>
        <w:ind w:left="1080" w:hanging="1080"/>
      </w:pPr>
      <w:rPr>
        <w:rFonts w:cs="Times New Roman"/>
      </w:rPr>
    </w:lvl>
    <w:lvl w:ilvl="5" w:tentative="0">
      <w:start w:val="1"/>
      <w:numFmt w:val="decimal"/>
      <w:isLgl/>
      <w:lvlText w:val="%1.%2.%3.%4.%5.%6"/>
      <w:lvlJc w:val="left"/>
      <w:pPr>
        <w:tabs>
          <w:tab w:val="left" w:pos="1440"/>
        </w:tabs>
        <w:ind w:left="1440" w:hanging="1440"/>
      </w:pPr>
      <w:rPr>
        <w:rFonts w:cs="Times New Roman"/>
      </w:rPr>
    </w:lvl>
    <w:lvl w:ilvl="6" w:tentative="0">
      <w:start w:val="1"/>
      <w:numFmt w:val="decimal"/>
      <w:isLgl/>
      <w:lvlText w:val="%1.%2.%3.%4.%5.%6.%7"/>
      <w:lvlJc w:val="left"/>
      <w:pPr>
        <w:tabs>
          <w:tab w:val="left" w:pos="1800"/>
        </w:tabs>
        <w:ind w:left="1800" w:hanging="1800"/>
      </w:pPr>
      <w:rPr>
        <w:rFonts w:cs="Times New Roman"/>
      </w:rPr>
    </w:lvl>
    <w:lvl w:ilvl="7" w:tentative="0">
      <w:start w:val="1"/>
      <w:numFmt w:val="decimal"/>
      <w:isLgl/>
      <w:lvlText w:val="%1.%2.%3.%4.%5.%6.%7.%8"/>
      <w:lvlJc w:val="left"/>
      <w:pPr>
        <w:tabs>
          <w:tab w:val="left" w:pos="1800"/>
        </w:tabs>
        <w:ind w:left="1800" w:hanging="1800"/>
      </w:pPr>
      <w:rPr>
        <w:rFonts w:cs="Times New Roman"/>
      </w:rPr>
    </w:lvl>
    <w:lvl w:ilvl="8" w:tentative="0">
      <w:start w:val="1"/>
      <w:numFmt w:val="decimal"/>
      <w:isLgl/>
      <w:lvlText w:val="%1.%2.%3.%4.%5.%6.%7.%8.%9"/>
      <w:lvlJc w:val="left"/>
      <w:pPr>
        <w:tabs>
          <w:tab w:val="left" w:pos="2160"/>
        </w:tabs>
        <w:ind w:left="2160" w:hanging="21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NmMzc0OTIzMTZlMjQ5OWQwYzY5MjlhNDQ1YzhhMTUifQ=="/>
    <w:docVar w:name="KSO_WPS_MARK_KEY" w:val="8c88a94e-4119-41f7-91b7-ab7d91691e86"/>
  </w:docVars>
  <w:rsids>
    <w:rsidRoot w:val="00172A27"/>
    <w:rsid w:val="000021B8"/>
    <w:rsid w:val="000058C7"/>
    <w:rsid w:val="00006CCB"/>
    <w:rsid w:val="00007C30"/>
    <w:rsid w:val="000113C0"/>
    <w:rsid w:val="000119ED"/>
    <w:rsid w:val="00012017"/>
    <w:rsid w:val="0001346F"/>
    <w:rsid w:val="00016642"/>
    <w:rsid w:val="0002179A"/>
    <w:rsid w:val="00022DB6"/>
    <w:rsid w:val="000313B1"/>
    <w:rsid w:val="000315AB"/>
    <w:rsid w:val="00034062"/>
    <w:rsid w:val="00036F00"/>
    <w:rsid w:val="0004058F"/>
    <w:rsid w:val="00041D4A"/>
    <w:rsid w:val="0004293E"/>
    <w:rsid w:val="00044F48"/>
    <w:rsid w:val="00046F7D"/>
    <w:rsid w:val="0004722E"/>
    <w:rsid w:val="00050749"/>
    <w:rsid w:val="0005170D"/>
    <w:rsid w:val="00052471"/>
    <w:rsid w:val="00062871"/>
    <w:rsid w:val="0006341A"/>
    <w:rsid w:val="00063FC5"/>
    <w:rsid w:val="00077E4E"/>
    <w:rsid w:val="00082CDA"/>
    <w:rsid w:val="000840E8"/>
    <w:rsid w:val="00084406"/>
    <w:rsid w:val="00086A7A"/>
    <w:rsid w:val="00086F82"/>
    <w:rsid w:val="00090C7A"/>
    <w:rsid w:val="00091DAC"/>
    <w:rsid w:val="00093620"/>
    <w:rsid w:val="00096876"/>
    <w:rsid w:val="000A1397"/>
    <w:rsid w:val="000A3375"/>
    <w:rsid w:val="000A40B8"/>
    <w:rsid w:val="000B594C"/>
    <w:rsid w:val="000B75BF"/>
    <w:rsid w:val="000C148F"/>
    <w:rsid w:val="000C474F"/>
    <w:rsid w:val="000C6A2C"/>
    <w:rsid w:val="000C6D1D"/>
    <w:rsid w:val="000D17F9"/>
    <w:rsid w:val="000D29FA"/>
    <w:rsid w:val="000D5903"/>
    <w:rsid w:val="000D77C5"/>
    <w:rsid w:val="000E03C3"/>
    <w:rsid w:val="000E10AB"/>
    <w:rsid w:val="000E2121"/>
    <w:rsid w:val="000E2DBF"/>
    <w:rsid w:val="000F440A"/>
    <w:rsid w:val="000F45BC"/>
    <w:rsid w:val="000F77F4"/>
    <w:rsid w:val="00107B42"/>
    <w:rsid w:val="001123C4"/>
    <w:rsid w:val="001170CF"/>
    <w:rsid w:val="00117CF0"/>
    <w:rsid w:val="001212A6"/>
    <w:rsid w:val="00123407"/>
    <w:rsid w:val="0012420B"/>
    <w:rsid w:val="00125927"/>
    <w:rsid w:val="00127A35"/>
    <w:rsid w:val="0013155E"/>
    <w:rsid w:val="00132073"/>
    <w:rsid w:val="00132AD8"/>
    <w:rsid w:val="00133812"/>
    <w:rsid w:val="00133CB3"/>
    <w:rsid w:val="00140842"/>
    <w:rsid w:val="00152209"/>
    <w:rsid w:val="00153920"/>
    <w:rsid w:val="00162D82"/>
    <w:rsid w:val="0016645F"/>
    <w:rsid w:val="00166744"/>
    <w:rsid w:val="001711CD"/>
    <w:rsid w:val="00172A27"/>
    <w:rsid w:val="00173A44"/>
    <w:rsid w:val="001744D7"/>
    <w:rsid w:val="0018073C"/>
    <w:rsid w:val="00182C38"/>
    <w:rsid w:val="00183091"/>
    <w:rsid w:val="00186514"/>
    <w:rsid w:val="00187971"/>
    <w:rsid w:val="00192F80"/>
    <w:rsid w:val="00195148"/>
    <w:rsid w:val="00195B24"/>
    <w:rsid w:val="001A0BD8"/>
    <w:rsid w:val="001A217E"/>
    <w:rsid w:val="001A3548"/>
    <w:rsid w:val="001A58BF"/>
    <w:rsid w:val="001A7240"/>
    <w:rsid w:val="001B06A1"/>
    <w:rsid w:val="001B7C0F"/>
    <w:rsid w:val="001B7CF2"/>
    <w:rsid w:val="001C3757"/>
    <w:rsid w:val="001C57D5"/>
    <w:rsid w:val="001D03A3"/>
    <w:rsid w:val="001D2714"/>
    <w:rsid w:val="001E1E8E"/>
    <w:rsid w:val="001F2373"/>
    <w:rsid w:val="001F2404"/>
    <w:rsid w:val="001F3D87"/>
    <w:rsid w:val="001F4AFD"/>
    <w:rsid w:val="001F4F25"/>
    <w:rsid w:val="002020D5"/>
    <w:rsid w:val="0020210D"/>
    <w:rsid w:val="00204491"/>
    <w:rsid w:val="00204FF7"/>
    <w:rsid w:val="002137A8"/>
    <w:rsid w:val="00222DF1"/>
    <w:rsid w:val="00223500"/>
    <w:rsid w:val="002276B7"/>
    <w:rsid w:val="00227F66"/>
    <w:rsid w:val="00230ADC"/>
    <w:rsid w:val="00233618"/>
    <w:rsid w:val="0023652B"/>
    <w:rsid w:val="00241561"/>
    <w:rsid w:val="002424BC"/>
    <w:rsid w:val="00243971"/>
    <w:rsid w:val="00243B57"/>
    <w:rsid w:val="0024645D"/>
    <w:rsid w:val="00251095"/>
    <w:rsid w:val="00251398"/>
    <w:rsid w:val="00256282"/>
    <w:rsid w:val="00256FE0"/>
    <w:rsid w:val="00270DED"/>
    <w:rsid w:val="00271949"/>
    <w:rsid w:val="00274150"/>
    <w:rsid w:val="00275C97"/>
    <w:rsid w:val="00281152"/>
    <w:rsid w:val="00281A36"/>
    <w:rsid w:val="00281D20"/>
    <w:rsid w:val="00283E01"/>
    <w:rsid w:val="00284743"/>
    <w:rsid w:val="002858F0"/>
    <w:rsid w:val="00285F2E"/>
    <w:rsid w:val="0029521E"/>
    <w:rsid w:val="00295448"/>
    <w:rsid w:val="0029590B"/>
    <w:rsid w:val="00297A3F"/>
    <w:rsid w:val="002A3A74"/>
    <w:rsid w:val="002A7219"/>
    <w:rsid w:val="002C0563"/>
    <w:rsid w:val="002C1E19"/>
    <w:rsid w:val="002C584D"/>
    <w:rsid w:val="002D0B55"/>
    <w:rsid w:val="002D336C"/>
    <w:rsid w:val="002D76D5"/>
    <w:rsid w:val="002E05B3"/>
    <w:rsid w:val="002E18D5"/>
    <w:rsid w:val="002E2566"/>
    <w:rsid w:val="002E4CFC"/>
    <w:rsid w:val="002E7313"/>
    <w:rsid w:val="002F453D"/>
    <w:rsid w:val="002F5CF8"/>
    <w:rsid w:val="0030052C"/>
    <w:rsid w:val="003027FB"/>
    <w:rsid w:val="00304821"/>
    <w:rsid w:val="003054F1"/>
    <w:rsid w:val="00306085"/>
    <w:rsid w:val="00312F38"/>
    <w:rsid w:val="00314CE1"/>
    <w:rsid w:val="0031579E"/>
    <w:rsid w:val="003159CB"/>
    <w:rsid w:val="00316AC7"/>
    <w:rsid w:val="00317251"/>
    <w:rsid w:val="0032589C"/>
    <w:rsid w:val="00331BB2"/>
    <w:rsid w:val="00332D6F"/>
    <w:rsid w:val="00335105"/>
    <w:rsid w:val="00336D8A"/>
    <w:rsid w:val="003401A2"/>
    <w:rsid w:val="00341785"/>
    <w:rsid w:val="00353DCA"/>
    <w:rsid w:val="0035480B"/>
    <w:rsid w:val="003566D6"/>
    <w:rsid w:val="00356D8E"/>
    <w:rsid w:val="00364DB9"/>
    <w:rsid w:val="003668A0"/>
    <w:rsid w:val="00374297"/>
    <w:rsid w:val="00380F4B"/>
    <w:rsid w:val="0038137B"/>
    <w:rsid w:val="003816C5"/>
    <w:rsid w:val="00384723"/>
    <w:rsid w:val="003876FB"/>
    <w:rsid w:val="0039068F"/>
    <w:rsid w:val="00391EBC"/>
    <w:rsid w:val="003A13AC"/>
    <w:rsid w:val="003A25D2"/>
    <w:rsid w:val="003A3E86"/>
    <w:rsid w:val="003A49A9"/>
    <w:rsid w:val="003B0A3E"/>
    <w:rsid w:val="003B58A5"/>
    <w:rsid w:val="003B5D85"/>
    <w:rsid w:val="003B72DB"/>
    <w:rsid w:val="003B7EB1"/>
    <w:rsid w:val="003C184A"/>
    <w:rsid w:val="003C1E0D"/>
    <w:rsid w:val="003C37C3"/>
    <w:rsid w:val="003C37FE"/>
    <w:rsid w:val="003C6511"/>
    <w:rsid w:val="003C7B78"/>
    <w:rsid w:val="003D053E"/>
    <w:rsid w:val="003D0E46"/>
    <w:rsid w:val="003D1700"/>
    <w:rsid w:val="003D7D2E"/>
    <w:rsid w:val="003D7FFD"/>
    <w:rsid w:val="003E1BC0"/>
    <w:rsid w:val="003E2DEF"/>
    <w:rsid w:val="003E7DE8"/>
    <w:rsid w:val="0040217F"/>
    <w:rsid w:val="00402864"/>
    <w:rsid w:val="00404FB2"/>
    <w:rsid w:val="0040649A"/>
    <w:rsid w:val="00411B48"/>
    <w:rsid w:val="0041379D"/>
    <w:rsid w:val="00414E36"/>
    <w:rsid w:val="00415918"/>
    <w:rsid w:val="00416386"/>
    <w:rsid w:val="0041751E"/>
    <w:rsid w:val="0042469B"/>
    <w:rsid w:val="0042480E"/>
    <w:rsid w:val="00424D4C"/>
    <w:rsid w:val="00425EB3"/>
    <w:rsid w:val="0043059F"/>
    <w:rsid w:val="004312DF"/>
    <w:rsid w:val="004316C0"/>
    <w:rsid w:val="00431C62"/>
    <w:rsid w:val="00433865"/>
    <w:rsid w:val="00434EC8"/>
    <w:rsid w:val="004407C9"/>
    <w:rsid w:val="00440DBA"/>
    <w:rsid w:val="00442434"/>
    <w:rsid w:val="00443BB3"/>
    <w:rsid w:val="0044566A"/>
    <w:rsid w:val="004505A8"/>
    <w:rsid w:val="0046069B"/>
    <w:rsid w:val="00466D0F"/>
    <w:rsid w:val="00466D47"/>
    <w:rsid w:val="00466F9D"/>
    <w:rsid w:val="00470890"/>
    <w:rsid w:val="00471D26"/>
    <w:rsid w:val="00472A42"/>
    <w:rsid w:val="00473D6B"/>
    <w:rsid w:val="00475AD2"/>
    <w:rsid w:val="004901DA"/>
    <w:rsid w:val="00490D8F"/>
    <w:rsid w:val="004912E4"/>
    <w:rsid w:val="0049349E"/>
    <w:rsid w:val="004A089D"/>
    <w:rsid w:val="004A2E1E"/>
    <w:rsid w:val="004A5CEB"/>
    <w:rsid w:val="004B0DE6"/>
    <w:rsid w:val="004B1222"/>
    <w:rsid w:val="004B21C1"/>
    <w:rsid w:val="004C023A"/>
    <w:rsid w:val="004C0F39"/>
    <w:rsid w:val="004C17BC"/>
    <w:rsid w:val="004C52EE"/>
    <w:rsid w:val="004C65A0"/>
    <w:rsid w:val="004C67BE"/>
    <w:rsid w:val="004D3B3E"/>
    <w:rsid w:val="004D7061"/>
    <w:rsid w:val="004D7141"/>
    <w:rsid w:val="004E27EA"/>
    <w:rsid w:val="004F05FD"/>
    <w:rsid w:val="004F7CC4"/>
    <w:rsid w:val="0050073C"/>
    <w:rsid w:val="00504DDB"/>
    <w:rsid w:val="005122D0"/>
    <w:rsid w:val="00512F55"/>
    <w:rsid w:val="00516E6E"/>
    <w:rsid w:val="00520490"/>
    <w:rsid w:val="00522B3B"/>
    <w:rsid w:val="005236F4"/>
    <w:rsid w:val="00523B7F"/>
    <w:rsid w:val="005247EF"/>
    <w:rsid w:val="00525FE3"/>
    <w:rsid w:val="00531531"/>
    <w:rsid w:val="005341F6"/>
    <w:rsid w:val="00534B19"/>
    <w:rsid w:val="00542323"/>
    <w:rsid w:val="0054556F"/>
    <w:rsid w:val="00547EA9"/>
    <w:rsid w:val="00563884"/>
    <w:rsid w:val="00563CF9"/>
    <w:rsid w:val="005642F1"/>
    <w:rsid w:val="0056728F"/>
    <w:rsid w:val="005674B1"/>
    <w:rsid w:val="0057336E"/>
    <w:rsid w:val="005777E1"/>
    <w:rsid w:val="00584296"/>
    <w:rsid w:val="00584EE0"/>
    <w:rsid w:val="00585DF7"/>
    <w:rsid w:val="00585F05"/>
    <w:rsid w:val="00592B17"/>
    <w:rsid w:val="00592F1E"/>
    <w:rsid w:val="005931AA"/>
    <w:rsid w:val="005965FC"/>
    <w:rsid w:val="00596AD8"/>
    <w:rsid w:val="005A36B9"/>
    <w:rsid w:val="005A3DF8"/>
    <w:rsid w:val="005A46D4"/>
    <w:rsid w:val="005A59AB"/>
    <w:rsid w:val="005A6509"/>
    <w:rsid w:val="005A70D9"/>
    <w:rsid w:val="005B3E9E"/>
    <w:rsid w:val="005B453F"/>
    <w:rsid w:val="005B4B61"/>
    <w:rsid w:val="005B7B86"/>
    <w:rsid w:val="005C2892"/>
    <w:rsid w:val="005D2925"/>
    <w:rsid w:val="005D4129"/>
    <w:rsid w:val="005D55D8"/>
    <w:rsid w:val="005E37C9"/>
    <w:rsid w:val="005E60BD"/>
    <w:rsid w:val="005E71BE"/>
    <w:rsid w:val="005F43F2"/>
    <w:rsid w:val="006019E0"/>
    <w:rsid w:val="006055F1"/>
    <w:rsid w:val="00605719"/>
    <w:rsid w:val="00611037"/>
    <w:rsid w:val="006131A1"/>
    <w:rsid w:val="006142AA"/>
    <w:rsid w:val="00616711"/>
    <w:rsid w:val="00622FEC"/>
    <w:rsid w:val="00623C39"/>
    <w:rsid w:val="00625B70"/>
    <w:rsid w:val="00626673"/>
    <w:rsid w:val="00626AC1"/>
    <w:rsid w:val="00630D69"/>
    <w:rsid w:val="006323BF"/>
    <w:rsid w:val="00632E6E"/>
    <w:rsid w:val="0063313F"/>
    <w:rsid w:val="00637115"/>
    <w:rsid w:val="00643DF4"/>
    <w:rsid w:val="00644931"/>
    <w:rsid w:val="00646A4C"/>
    <w:rsid w:val="00653033"/>
    <w:rsid w:val="00660B77"/>
    <w:rsid w:val="0066219E"/>
    <w:rsid w:val="0066386D"/>
    <w:rsid w:val="00665BE2"/>
    <w:rsid w:val="0066745F"/>
    <w:rsid w:val="00670EF3"/>
    <w:rsid w:val="006723AA"/>
    <w:rsid w:val="006736FD"/>
    <w:rsid w:val="006739A7"/>
    <w:rsid w:val="00686C4B"/>
    <w:rsid w:val="0068748E"/>
    <w:rsid w:val="00691AE5"/>
    <w:rsid w:val="00691EF5"/>
    <w:rsid w:val="00692278"/>
    <w:rsid w:val="00694CA7"/>
    <w:rsid w:val="00694FF0"/>
    <w:rsid w:val="00695634"/>
    <w:rsid w:val="00695778"/>
    <w:rsid w:val="00697E04"/>
    <w:rsid w:val="006A0E89"/>
    <w:rsid w:val="006A1403"/>
    <w:rsid w:val="006A456F"/>
    <w:rsid w:val="006A6043"/>
    <w:rsid w:val="006B2176"/>
    <w:rsid w:val="006B6C10"/>
    <w:rsid w:val="006B7A46"/>
    <w:rsid w:val="006C06D5"/>
    <w:rsid w:val="006C1CD1"/>
    <w:rsid w:val="006C473F"/>
    <w:rsid w:val="006D0FB7"/>
    <w:rsid w:val="006D5376"/>
    <w:rsid w:val="006D5BD0"/>
    <w:rsid w:val="006E05BC"/>
    <w:rsid w:val="006E6D8C"/>
    <w:rsid w:val="006F6A5D"/>
    <w:rsid w:val="006F76EA"/>
    <w:rsid w:val="00705B7D"/>
    <w:rsid w:val="00706700"/>
    <w:rsid w:val="007070CC"/>
    <w:rsid w:val="007106E8"/>
    <w:rsid w:val="0071226B"/>
    <w:rsid w:val="00715264"/>
    <w:rsid w:val="00715E24"/>
    <w:rsid w:val="00716036"/>
    <w:rsid w:val="00721662"/>
    <w:rsid w:val="00723061"/>
    <w:rsid w:val="007234A7"/>
    <w:rsid w:val="00723A2C"/>
    <w:rsid w:val="00730D6E"/>
    <w:rsid w:val="00731510"/>
    <w:rsid w:val="00732409"/>
    <w:rsid w:val="00736630"/>
    <w:rsid w:val="00743122"/>
    <w:rsid w:val="007447B7"/>
    <w:rsid w:val="0074532A"/>
    <w:rsid w:val="00746FF2"/>
    <w:rsid w:val="00752112"/>
    <w:rsid w:val="00756D2B"/>
    <w:rsid w:val="00760866"/>
    <w:rsid w:val="00762538"/>
    <w:rsid w:val="00764196"/>
    <w:rsid w:val="0076563A"/>
    <w:rsid w:val="00774DFC"/>
    <w:rsid w:val="007765A9"/>
    <w:rsid w:val="00777017"/>
    <w:rsid w:val="0078459C"/>
    <w:rsid w:val="00794510"/>
    <w:rsid w:val="007A0AC6"/>
    <w:rsid w:val="007A0FB4"/>
    <w:rsid w:val="007A20BB"/>
    <w:rsid w:val="007A2B08"/>
    <w:rsid w:val="007A373B"/>
    <w:rsid w:val="007A421A"/>
    <w:rsid w:val="007B19DE"/>
    <w:rsid w:val="007B5278"/>
    <w:rsid w:val="007B5F45"/>
    <w:rsid w:val="007B7B4E"/>
    <w:rsid w:val="007C7D47"/>
    <w:rsid w:val="007D2FFD"/>
    <w:rsid w:val="007D77C8"/>
    <w:rsid w:val="007E1DA1"/>
    <w:rsid w:val="007E3DF8"/>
    <w:rsid w:val="007E712A"/>
    <w:rsid w:val="007F4EE1"/>
    <w:rsid w:val="007F73AC"/>
    <w:rsid w:val="00800B5F"/>
    <w:rsid w:val="0080518B"/>
    <w:rsid w:val="00806964"/>
    <w:rsid w:val="00814638"/>
    <w:rsid w:val="00814A36"/>
    <w:rsid w:val="0081593D"/>
    <w:rsid w:val="008237E0"/>
    <w:rsid w:val="00825B62"/>
    <w:rsid w:val="00842C07"/>
    <w:rsid w:val="00843A21"/>
    <w:rsid w:val="00850412"/>
    <w:rsid w:val="0085190F"/>
    <w:rsid w:val="00856CDD"/>
    <w:rsid w:val="0086356B"/>
    <w:rsid w:val="008648A6"/>
    <w:rsid w:val="00874289"/>
    <w:rsid w:val="00877A95"/>
    <w:rsid w:val="00891199"/>
    <w:rsid w:val="0089241D"/>
    <w:rsid w:val="008924DA"/>
    <w:rsid w:val="00893EF7"/>
    <w:rsid w:val="00896904"/>
    <w:rsid w:val="008A272A"/>
    <w:rsid w:val="008A2ECA"/>
    <w:rsid w:val="008A4577"/>
    <w:rsid w:val="008A7862"/>
    <w:rsid w:val="008A7D5D"/>
    <w:rsid w:val="008B0CD4"/>
    <w:rsid w:val="008B4239"/>
    <w:rsid w:val="008C07B1"/>
    <w:rsid w:val="008C0ACD"/>
    <w:rsid w:val="008D00E5"/>
    <w:rsid w:val="008D36A1"/>
    <w:rsid w:val="008D4484"/>
    <w:rsid w:val="008D541A"/>
    <w:rsid w:val="008D62D1"/>
    <w:rsid w:val="008E5853"/>
    <w:rsid w:val="008E6BDF"/>
    <w:rsid w:val="008E7239"/>
    <w:rsid w:val="008F17CD"/>
    <w:rsid w:val="008F4160"/>
    <w:rsid w:val="009043F8"/>
    <w:rsid w:val="00904FCB"/>
    <w:rsid w:val="00916244"/>
    <w:rsid w:val="009228B2"/>
    <w:rsid w:val="0092450E"/>
    <w:rsid w:val="00926128"/>
    <w:rsid w:val="00930728"/>
    <w:rsid w:val="0093243E"/>
    <w:rsid w:val="009338AC"/>
    <w:rsid w:val="009372D7"/>
    <w:rsid w:val="00937A91"/>
    <w:rsid w:val="00941A14"/>
    <w:rsid w:val="00942968"/>
    <w:rsid w:val="00946C4B"/>
    <w:rsid w:val="0095116A"/>
    <w:rsid w:val="00954F29"/>
    <w:rsid w:val="009550A6"/>
    <w:rsid w:val="009564D7"/>
    <w:rsid w:val="009572C8"/>
    <w:rsid w:val="00961F7A"/>
    <w:rsid w:val="009624E5"/>
    <w:rsid w:val="00964229"/>
    <w:rsid w:val="00965C54"/>
    <w:rsid w:val="009671D6"/>
    <w:rsid w:val="00974051"/>
    <w:rsid w:val="0097589D"/>
    <w:rsid w:val="00976451"/>
    <w:rsid w:val="009779D1"/>
    <w:rsid w:val="00980898"/>
    <w:rsid w:val="00983F63"/>
    <w:rsid w:val="00990D66"/>
    <w:rsid w:val="009915AA"/>
    <w:rsid w:val="00993080"/>
    <w:rsid w:val="00993AB5"/>
    <w:rsid w:val="00994208"/>
    <w:rsid w:val="009A09D4"/>
    <w:rsid w:val="009A22D5"/>
    <w:rsid w:val="009B45C0"/>
    <w:rsid w:val="009C2D66"/>
    <w:rsid w:val="009C5817"/>
    <w:rsid w:val="009C62B1"/>
    <w:rsid w:val="009C664E"/>
    <w:rsid w:val="009C7E50"/>
    <w:rsid w:val="009D061E"/>
    <w:rsid w:val="009D1649"/>
    <w:rsid w:val="009D2921"/>
    <w:rsid w:val="009D471D"/>
    <w:rsid w:val="009E0D3F"/>
    <w:rsid w:val="009E0F25"/>
    <w:rsid w:val="009E76D4"/>
    <w:rsid w:val="009F23F1"/>
    <w:rsid w:val="009F5C8A"/>
    <w:rsid w:val="009F7747"/>
    <w:rsid w:val="00A00A72"/>
    <w:rsid w:val="00A059F0"/>
    <w:rsid w:val="00A06505"/>
    <w:rsid w:val="00A1579F"/>
    <w:rsid w:val="00A22E19"/>
    <w:rsid w:val="00A24DE5"/>
    <w:rsid w:val="00A30005"/>
    <w:rsid w:val="00A32598"/>
    <w:rsid w:val="00A331CD"/>
    <w:rsid w:val="00A37863"/>
    <w:rsid w:val="00A407D2"/>
    <w:rsid w:val="00A42435"/>
    <w:rsid w:val="00A42492"/>
    <w:rsid w:val="00A42A05"/>
    <w:rsid w:val="00A4340F"/>
    <w:rsid w:val="00A43810"/>
    <w:rsid w:val="00A43E13"/>
    <w:rsid w:val="00A46048"/>
    <w:rsid w:val="00A46894"/>
    <w:rsid w:val="00A46FD8"/>
    <w:rsid w:val="00A522CE"/>
    <w:rsid w:val="00A53B1C"/>
    <w:rsid w:val="00A5455D"/>
    <w:rsid w:val="00A55F96"/>
    <w:rsid w:val="00A56A8E"/>
    <w:rsid w:val="00A56B26"/>
    <w:rsid w:val="00A56D6E"/>
    <w:rsid w:val="00A57A07"/>
    <w:rsid w:val="00A606B9"/>
    <w:rsid w:val="00A60904"/>
    <w:rsid w:val="00A63E8F"/>
    <w:rsid w:val="00A70F91"/>
    <w:rsid w:val="00A7496A"/>
    <w:rsid w:val="00A805D6"/>
    <w:rsid w:val="00A83050"/>
    <w:rsid w:val="00A84568"/>
    <w:rsid w:val="00A92854"/>
    <w:rsid w:val="00A978FC"/>
    <w:rsid w:val="00AA25BB"/>
    <w:rsid w:val="00AA35C7"/>
    <w:rsid w:val="00AA4083"/>
    <w:rsid w:val="00AA682F"/>
    <w:rsid w:val="00AA7B84"/>
    <w:rsid w:val="00AA7E6F"/>
    <w:rsid w:val="00AB0E14"/>
    <w:rsid w:val="00AB2515"/>
    <w:rsid w:val="00AB3A2A"/>
    <w:rsid w:val="00AB5DFB"/>
    <w:rsid w:val="00AC1AFC"/>
    <w:rsid w:val="00AC3C2F"/>
    <w:rsid w:val="00AC73C2"/>
    <w:rsid w:val="00AD0A09"/>
    <w:rsid w:val="00AD0A6B"/>
    <w:rsid w:val="00AD5D80"/>
    <w:rsid w:val="00AD7007"/>
    <w:rsid w:val="00AD7421"/>
    <w:rsid w:val="00AD771A"/>
    <w:rsid w:val="00AE0266"/>
    <w:rsid w:val="00AE3933"/>
    <w:rsid w:val="00AE55EB"/>
    <w:rsid w:val="00AE5BC0"/>
    <w:rsid w:val="00AF167C"/>
    <w:rsid w:val="00AF18B8"/>
    <w:rsid w:val="00AF4015"/>
    <w:rsid w:val="00AF4D94"/>
    <w:rsid w:val="00AF5A9C"/>
    <w:rsid w:val="00AF5A9F"/>
    <w:rsid w:val="00B10391"/>
    <w:rsid w:val="00B1309F"/>
    <w:rsid w:val="00B149BB"/>
    <w:rsid w:val="00B16843"/>
    <w:rsid w:val="00B20B9D"/>
    <w:rsid w:val="00B21E45"/>
    <w:rsid w:val="00B22A14"/>
    <w:rsid w:val="00B32449"/>
    <w:rsid w:val="00B33135"/>
    <w:rsid w:val="00B34B02"/>
    <w:rsid w:val="00B3686C"/>
    <w:rsid w:val="00B40109"/>
    <w:rsid w:val="00B45114"/>
    <w:rsid w:val="00B468BC"/>
    <w:rsid w:val="00B46CEB"/>
    <w:rsid w:val="00B577A8"/>
    <w:rsid w:val="00B60485"/>
    <w:rsid w:val="00B61D1F"/>
    <w:rsid w:val="00B65F8D"/>
    <w:rsid w:val="00B7272A"/>
    <w:rsid w:val="00B73276"/>
    <w:rsid w:val="00B80EED"/>
    <w:rsid w:val="00B80F00"/>
    <w:rsid w:val="00B8167C"/>
    <w:rsid w:val="00B8428D"/>
    <w:rsid w:val="00B84ADE"/>
    <w:rsid w:val="00B85480"/>
    <w:rsid w:val="00B85AB0"/>
    <w:rsid w:val="00B908E0"/>
    <w:rsid w:val="00BA0F91"/>
    <w:rsid w:val="00BA1785"/>
    <w:rsid w:val="00BA41FF"/>
    <w:rsid w:val="00BA4EE4"/>
    <w:rsid w:val="00BB4678"/>
    <w:rsid w:val="00BB59F3"/>
    <w:rsid w:val="00BB5EAD"/>
    <w:rsid w:val="00BC122E"/>
    <w:rsid w:val="00BD1988"/>
    <w:rsid w:val="00BD294E"/>
    <w:rsid w:val="00BE3FAB"/>
    <w:rsid w:val="00BF4F23"/>
    <w:rsid w:val="00C001E1"/>
    <w:rsid w:val="00C05AF3"/>
    <w:rsid w:val="00C05CDB"/>
    <w:rsid w:val="00C074CA"/>
    <w:rsid w:val="00C1102E"/>
    <w:rsid w:val="00C1174D"/>
    <w:rsid w:val="00C16DAF"/>
    <w:rsid w:val="00C201B7"/>
    <w:rsid w:val="00C27B3F"/>
    <w:rsid w:val="00C326DC"/>
    <w:rsid w:val="00C338C9"/>
    <w:rsid w:val="00C36F5E"/>
    <w:rsid w:val="00C40B75"/>
    <w:rsid w:val="00C42A45"/>
    <w:rsid w:val="00C42C7F"/>
    <w:rsid w:val="00C46424"/>
    <w:rsid w:val="00C4645E"/>
    <w:rsid w:val="00C47B76"/>
    <w:rsid w:val="00C511B3"/>
    <w:rsid w:val="00C54495"/>
    <w:rsid w:val="00C553EE"/>
    <w:rsid w:val="00C57850"/>
    <w:rsid w:val="00C6013B"/>
    <w:rsid w:val="00C63BFE"/>
    <w:rsid w:val="00C6417B"/>
    <w:rsid w:val="00C6765F"/>
    <w:rsid w:val="00C72C8A"/>
    <w:rsid w:val="00C73345"/>
    <w:rsid w:val="00C73F86"/>
    <w:rsid w:val="00C77268"/>
    <w:rsid w:val="00C822D7"/>
    <w:rsid w:val="00C82830"/>
    <w:rsid w:val="00C82853"/>
    <w:rsid w:val="00C915D4"/>
    <w:rsid w:val="00C91E26"/>
    <w:rsid w:val="00C927F0"/>
    <w:rsid w:val="00C963A8"/>
    <w:rsid w:val="00CA2910"/>
    <w:rsid w:val="00CA5FED"/>
    <w:rsid w:val="00CA614C"/>
    <w:rsid w:val="00CC0C81"/>
    <w:rsid w:val="00CC1E61"/>
    <w:rsid w:val="00CC3EC8"/>
    <w:rsid w:val="00CC5380"/>
    <w:rsid w:val="00CC58E5"/>
    <w:rsid w:val="00CD19D9"/>
    <w:rsid w:val="00CD3B09"/>
    <w:rsid w:val="00CD4B21"/>
    <w:rsid w:val="00CD6355"/>
    <w:rsid w:val="00CE089C"/>
    <w:rsid w:val="00CE0C52"/>
    <w:rsid w:val="00CE51EE"/>
    <w:rsid w:val="00CF0517"/>
    <w:rsid w:val="00CF26B7"/>
    <w:rsid w:val="00CF3A08"/>
    <w:rsid w:val="00CF3FE6"/>
    <w:rsid w:val="00CF53C7"/>
    <w:rsid w:val="00D00F40"/>
    <w:rsid w:val="00D02F5D"/>
    <w:rsid w:val="00D07DA6"/>
    <w:rsid w:val="00D11D23"/>
    <w:rsid w:val="00D1502F"/>
    <w:rsid w:val="00D17518"/>
    <w:rsid w:val="00D204C5"/>
    <w:rsid w:val="00D27548"/>
    <w:rsid w:val="00D304A5"/>
    <w:rsid w:val="00D30F61"/>
    <w:rsid w:val="00D31499"/>
    <w:rsid w:val="00D31E10"/>
    <w:rsid w:val="00D321B8"/>
    <w:rsid w:val="00D327C0"/>
    <w:rsid w:val="00D344DA"/>
    <w:rsid w:val="00D36408"/>
    <w:rsid w:val="00D427B7"/>
    <w:rsid w:val="00D44543"/>
    <w:rsid w:val="00D500E8"/>
    <w:rsid w:val="00D5163F"/>
    <w:rsid w:val="00D52D57"/>
    <w:rsid w:val="00D574E1"/>
    <w:rsid w:val="00D60598"/>
    <w:rsid w:val="00D62B08"/>
    <w:rsid w:val="00D632FC"/>
    <w:rsid w:val="00D6474D"/>
    <w:rsid w:val="00D650C1"/>
    <w:rsid w:val="00D70089"/>
    <w:rsid w:val="00D70297"/>
    <w:rsid w:val="00D717EF"/>
    <w:rsid w:val="00D72121"/>
    <w:rsid w:val="00D73E90"/>
    <w:rsid w:val="00D765BF"/>
    <w:rsid w:val="00D91505"/>
    <w:rsid w:val="00DA48C6"/>
    <w:rsid w:val="00DA5F4D"/>
    <w:rsid w:val="00DB6684"/>
    <w:rsid w:val="00DD1146"/>
    <w:rsid w:val="00DD1A2B"/>
    <w:rsid w:val="00DD4649"/>
    <w:rsid w:val="00DE0AF1"/>
    <w:rsid w:val="00DE2099"/>
    <w:rsid w:val="00DE54A6"/>
    <w:rsid w:val="00DE5904"/>
    <w:rsid w:val="00E055DA"/>
    <w:rsid w:val="00E07B93"/>
    <w:rsid w:val="00E10101"/>
    <w:rsid w:val="00E20C89"/>
    <w:rsid w:val="00E24ED5"/>
    <w:rsid w:val="00E262E8"/>
    <w:rsid w:val="00E30391"/>
    <w:rsid w:val="00E32D51"/>
    <w:rsid w:val="00E33B3D"/>
    <w:rsid w:val="00E351C9"/>
    <w:rsid w:val="00E35720"/>
    <w:rsid w:val="00E3603D"/>
    <w:rsid w:val="00E419B9"/>
    <w:rsid w:val="00E41F97"/>
    <w:rsid w:val="00E45262"/>
    <w:rsid w:val="00E51563"/>
    <w:rsid w:val="00E5161A"/>
    <w:rsid w:val="00E5300A"/>
    <w:rsid w:val="00E562C9"/>
    <w:rsid w:val="00E60C54"/>
    <w:rsid w:val="00E852CC"/>
    <w:rsid w:val="00E872A3"/>
    <w:rsid w:val="00E90B7E"/>
    <w:rsid w:val="00E9335D"/>
    <w:rsid w:val="00E95F90"/>
    <w:rsid w:val="00E962F4"/>
    <w:rsid w:val="00E96D45"/>
    <w:rsid w:val="00E97CA2"/>
    <w:rsid w:val="00EA04A2"/>
    <w:rsid w:val="00EA4A37"/>
    <w:rsid w:val="00EA4B31"/>
    <w:rsid w:val="00EA6F9B"/>
    <w:rsid w:val="00EB0D42"/>
    <w:rsid w:val="00EB112F"/>
    <w:rsid w:val="00EB7DA7"/>
    <w:rsid w:val="00EC021B"/>
    <w:rsid w:val="00EC0D98"/>
    <w:rsid w:val="00EC560A"/>
    <w:rsid w:val="00EC6954"/>
    <w:rsid w:val="00EC6F38"/>
    <w:rsid w:val="00EC716E"/>
    <w:rsid w:val="00ED1D08"/>
    <w:rsid w:val="00ED1E44"/>
    <w:rsid w:val="00ED2D4C"/>
    <w:rsid w:val="00ED6686"/>
    <w:rsid w:val="00EE0A12"/>
    <w:rsid w:val="00EE2B95"/>
    <w:rsid w:val="00EE4C4F"/>
    <w:rsid w:val="00EE6CFD"/>
    <w:rsid w:val="00EE7A59"/>
    <w:rsid w:val="00EF1EA9"/>
    <w:rsid w:val="00EF77AA"/>
    <w:rsid w:val="00EF79FA"/>
    <w:rsid w:val="00F00267"/>
    <w:rsid w:val="00F11ADD"/>
    <w:rsid w:val="00F125BF"/>
    <w:rsid w:val="00F132CA"/>
    <w:rsid w:val="00F13F15"/>
    <w:rsid w:val="00F16B28"/>
    <w:rsid w:val="00F17251"/>
    <w:rsid w:val="00F2216D"/>
    <w:rsid w:val="00F2337A"/>
    <w:rsid w:val="00F259E6"/>
    <w:rsid w:val="00F26642"/>
    <w:rsid w:val="00F271D0"/>
    <w:rsid w:val="00F278D2"/>
    <w:rsid w:val="00F304F8"/>
    <w:rsid w:val="00F30ADB"/>
    <w:rsid w:val="00F31B89"/>
    <w:rsid w:val="00F330E5"/>
    <w:rsid w:val="00F33F05"/>
    <w:rsid w:val="00F35E84"/>
    <w:rsid w:val="00F42D7A"/>
    <w:rsid w:val="00F438BE"/>
    <w:rsid w:val="00F46D47"/>
    <w:rsid w:val="00F5147F"/>
    <w:rsid w:val="00F55393"/>
    <w:rsid w:val="00F55759"/>
    <w:rsid w:val="00F5590A"/>
    <w:rsid w:val="00F5650F"/>
    <w:rsid w:val="00F56FCE"/>
    <w:rsid w:val="00F62B55"/>
    <w:rsid w:val="00F670D2"/>
    <w:rsid w:val="00F710D1"/>
    <w:rsid w:val="00F73579"/>
    <w:rsid w:val="00F764CA"/>
    <w:rsid w:val="00F776A3"/>
    <w:rsid w:val="00F77E71"/>
    <w:rsid w:val="00F805E7"/>
    <w:rsid w:val="00F81018"/>
    <w:rsid w:val="00F82436"/>
    <w:rsid w:val="00F827AF"/>
    <w:rsid w:val="00F86526"/>
    <w:rsid w:val="00F904D4"/>
    <w:rsid w:val="00F9223A"/>
    <w:rsid w:val="00F92299"/>
    <w:rsid w:val="00F9619C"/>
    <w:rsid w:val="00F965C7"/>
    <w:rsid w:val="00FA1D80"/>
    <w:rsid w:val="00FA6219"/>
    <w:rsid w:val="00FA6CEA"/>
    <w:rsid w:val="00FA6FD3"/>
    <w:rsid w:val="00FB0C59"/>
    <w:rsid w:val="00FB640F"/>
    <w:rsid w:val="00FC0411"/>
    <w:rsid w:val="00FC2A8F"/>
    <w:rsid w:val="00FC4682"/>
    <w:rsid w:val="00FC6773"/>
    <w:rsid w:val="00FD3F27"/>
    <w:rsid w:val="00FD7732"/>
    <w:rsid w:val="00FE15D5"/>
    <w:rsid w:val="00FE186E"/>
    <w:rsid w:val="00FE32D7"/>
    <w:rsid w:val="00FE3FC7"/>
    <w:rsid w:val="00FE4D36"/>
    <w:rsid w:val="00FE65DA"/>
    <w:rsid w:val="00FF3E0B"/>
    <w:rsid w:val="00FF59EE"/>
    <w:rsid w:val="08E77367"/>
    <w:rsid w:val="200E32FE"/>
    <w:rsid w:val="238F4FD3"/>
    <w:rsid w:val="24EB2B19"/>
    <w:rsid w:val="2D0149B0"/>
    <w:rsid w:val="307A0735"/>
    <w:rsid w:val="500C05B4"/>
    <w:rsid w:val="52122260"/>
    <w:rsid w:val="526E3362"/>
    <w:rsid w:val="5C5D7C07"/>
    <w:rsid w:val="6CC67348"/>
    <w:rsid w:val="79D63D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rules v:ext="edit">
        <o:r id="V:Rule1" type="connector" idref="#AutoShape 109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semiHidden="0" w:name="Balloon Text"/>
    <w:lsdException w:qFormat="1"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right"/>
      <w:outlineLvl w:val="0"/>
    </w:pPr>
    <w:rPr>
      <w:rFonts w:ascii="华文中宋" w:hAnsi="华文中宋" w:eastAsia="黑体"/>
      <w:b/>
      <w:bCs/>
      <w:sz w:val="28"/>
    </w:rPr>
  </w:style>
  <w:style w:type="paragraph" w:styleId="3">
    <w:name w:val="heading 2"/>
    <w:basedOn w:val="1"/>
    <w:next w:val="1"/>
    <w:qFormat/>
    <w:uiPriority w:val="0"/>
    <w:pPr>
      <w:keepNext/>
      <w:spacing w:line="800" w:lineRule="exact"/>
      <w:jc w:val="left"/>
      <w:outlineLvl w:val="1"/>
    </w:pPr>
    <w:rPr>
      <w:rFonts w:ascii="黑体" w:hAnsi="宋体" w:eastAsiaTheme="majorEastAsia"/>
      <w:b/>
      <w:bCs/>
      <w:sz w:val="24"/>
    </w:rPr>
  </w:style>
  <w:style w:type="paragraph" w:styleId="4">
    <w:name w:val="heading 3"/>
    <w:basedOn w:val="1"/>
    <w:next w:val="1"/>
    <w:qFormat/>
    <w:uiPriority w:val="0"/>
    <w:pPr>
      <w:keepNext/>
      <w:jc w:val="left"/>
      <w:outlineLvl w:val="2"/>
    </w:pPr>
    <w:rPr>
      <w:rFonts w:ascii="黑体"/>
      <w:sz w:val="24"/>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Document Map"/>
    <w:basedOn w:val="1"/>
    <w:semiHidden/>
    <w:qFormat/>
    <w:uiPriority w:val="0"/>
    <w:pPr>
      <w:shd w:val="clear" w:color="auto" w:fill="000080"/>
    </w:pPr>
  </w:style>
  <w:style w:type="paragraph" w:styleId="7">
    <w:name w:val="Body Text"/>
    <w:basedOn w:val="1"/>
    <w:link w:val="46"/>
    <w:qFormat/>
    <w:uiPriority w:val="0"/>
    <w:rPr>
      <w:sz w:val="24"/>
    </w:rPr>
  </w:style>
  <w:style w:type="paragraph" w:styleId="8">
    <w:name w:val="Body Text Indent"/>
    <w:basedOn w:val="1"/>
    <w:qFormat/>
    <w:uiPriority w:val="0"/>
    <w:pPr>
      <w:ind w:firstLine="480" w:firstLineChars="200"/>
    </w:pPr>
    <w:rPr>
      <w:rFonts w:eastAsia="黑体"/>
      <w:sz w:val="24"/>
    </w:rPr>
  </w:style>
  <w:style w:type="paragraph" w:styleId="9">
    <w:name w:val="toc 3"/>
    <w:basedOn w:val="1"/>
    <w:next w:val="1"/>
    <w:qFormat/>
    <w:uiPriority w:val="39"/>
    <w:pPr>
      <w:ind w:left="840" w:leftChars="400"/>
    </w:pPr>
  </w:style>
  <w:style w:type="paragraph" w:styleId="10">
    <w:name w:val="Plain Text"/>
    <w:basedOn w:val="1"/>
    <w:link w:val="45"/>
    <w:qFormat/>
    <w:uiPriority w:val="0"/>
    <w:pPr>
      <w:spacing w:line="360" w:lineRule="auto"/>
      <w:ind w:firstLine="200" w:firstLineChars="200"/>
    </w:pPr>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adjustRightInd w:val="0"/>
      <w:snapToGrid w:val="0"/>
      <w:spacing w:line="360" w:lineRule="auto"/>
      <w:ind w:firstLine="720" w:firstLineChars="300"/>
    </w:pPr>
    <w:rPr>
      <w:sz w:val="24"/>
    </w:rPr>
  </w:style>
  <w:style w:type="paragraph" w:styleId="13">
    <w:name w:val="Balloon Text"/>
    <w:basedOn w:val="1"/>
    <w:link w:val="41"/>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9060"/>
      </w:tabs>
      <w:spacing w:line="360" w:lineRule="auto"/>
    </w:pPr>
  </w:style>
  <w:style w:type="paragraph" w:styleId="17">
    <w:name w:val="Subtitle"/>
    <w:basedOn w:val="1"/>
    <w:next w:val="1"/>
    <w:link w:val="48"/>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8">
    <w:name w:val="List"/>
    <w:basedOn w:val="1"/>
    <w:qFormat/>
    <w:uiPriority w:val="0"/>
    <w:pPr>
      <w:ind w:left="200" w:hanging="200"/>
    </w:pPr>
    <w:rPr>
      <w:szCs w:val="20"/>
    </w:rPr>
  </w:style>
  <w:style w:type="paragraph" w:styleId="19">
    <w:name w:val="toc 2"/>
    <w:basedOn w:val="1"/>
    <w:next w:val="1"/>
    <w:qFormat/>
    <w:uiPriority w:val="39"/>
    <w:pPr>
      <w:ind w:left="420" w:leftChars="200"/>
    </w:pPr>
  </w:style>
  <w:style w:type="paragraph" w:styleId="2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1">
    <w:name w:val="Title"/>
    <w:basedOn w:val="1"/>
    <w:next w:val="1"/>
    <w:link w:val="43"/>
    <w:qFormat/>
    <w:uiPriority w:val="0"/>
    <w:pPr>
      <w:spacing w:before="240" w:after="60"/>
      <w:jc w:val="center"/>
      <w:outlineLvl w:val="0"/>
    </w:pPr>
    <w:rPr>
      <w:rFonts w:eastAsia="黑体" w:asciiTheme="majorHAnsi" w:hAnsiTheme="majorHAnsi" w:cstheme="majorBidi"/>
      <w:b/>
      <w:bCs/>
      <w:sz w:val="28"/>
      <w:szCs w:val="32"/>
    </w:rPr>
  </w:style>
  <w:style w:type="table" w:styleId="23">
    <w:name w:val="Table Grid"/>
    <w:basedOn w:val="2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0"/>
    <w:rPr>
      <w:b/>
      <w:bCs/>
    </w:rPr>
  </w:style>
  <w:style w:type="character" w:styleId="26">
    <w:name w:val="page number"/>
    <w:basedOn w:val="24"/>
    <w:qFormat/>
    <w:uiPriority w:val="0"/>
  </w:style>
  <w:style w:type="character" w:styleId="27">
    <w:name w:val="Emphasis"/>
    <w:basedOn w:val="24"/>
    <w:qFormat/>
    <w:uiPriority w:val="0"/>
    <w:rPr>
      <w:i/>
      <w:iCs/>
    </w:rPr>
  </w:style>
  <w:style w:type="character" w:styleId="28">
    <w:name w:val="Hyperlink"/>
    <w:basedOn w:val="24"/>
    <w:unhideWhenUsed/>
    <w:qFormat/>
    <w:uiPriority w:val="99"/>
    <w:rPr>
      <w:color w:val="0000FF" w:themeColor="hyperlink"/>
      <w:u w:val="single"/>
    </w:rPr>
  </w:style>
  <w:style w:type="character" w:styleId="29">
    <w:name w:val="footnote reference"/>
    <w:basedOn w:val="24"/>
    <w:qFormat/>
    <w:uiPriority w:val="0"/>
    <w:rPr>
      <w:vertAlign w:val="superscript"/>
    </w:rPr>
  </w:style>
  <w:style w:type="character" w:customStyle="1" w:styleId="30">
    <w:name w:val="段 Char Char"/>
    <w:basedOn w:val="24"/>
    <w:qFormat/>
    <w:uiPriority w:val="0"/>
    <w:rPr>
      <w:rFonts w:ascii="宋体" w:eastAsia="宋体"/>
      <w:sz w:val="21"/>
      <w:lang w:val="en-US" w:eastAsia="zh-CN" w:bidi="ar-SA"/>
    </w:rPr>
  </w:style>
  <w:style w:type="paragraph" w:customStyle="1" w:styleId="31">
    <w:name w:val="附录章标题"/>
    <w:next w:val="32"/>
    <w:qFormat/>
    <w:uiPriority w:val="0"/>
    <w:pPr>
      <w:numPr>
        <w:ilvl w:val="1"/>
        <w:numId w:val="1"/>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3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附录五级条标题"/>
    <w:basedOn w:val="34"/>
    <w:next w:val="32"/>
    <w:qFormat/>
    <w:uiPriority w:val="0"/>
    <w:pPr>
      <w:numPr>
        <w:ilvl w:val="6"/>
      </w:numPr>
      <w:outlineLvl w:val="6"/>
    </w:pPr>
  </w:style>
  <w:style w:type="paragraph" w:customStyle="1" w:styleId="34">
    <w:name w:val="附录四级条标题"/>
    <w:basedOn w:val="35"/>
    <w:next w:val="32"/>
    <w:qFormat/>
    <w:uiPriority w:val="0"/>
    <w:pPr>
      <w:numPr>
        <w:ilvl w:val="5"/>
      </w:numPr>
      <w:outlineLvl w:val="5"/>
    </w:pPr>
  </w:style>
  <w:style w:type="paragraph" w:customStyle="1" w:styleId="35">
    <w:name w:val="附录三级条标题"/>
    <w:basedOn w:val="36"/>
    <w:next w:val="32"/>
    <w:qFormat/>
    <w:uiPriority w:val="0"/>
    <w:pPr>
      <w:numPr>
        <w:ilvl w:val="4"/>
      </w:numPr>
      <w:outlineLvl w:val="4"/>
    </w:pPr>
  </w:style>
  <w:style w:type="paragraph" w:customStyle="1" w:styleId="36">
    <w:name w:val="附录二级条标题"/>
    <w:basedOn w:val="37"/>
    <w:next w:val="32"/>
    <w:qFormat/>
    <w:uiPriority w:val="0"/>
    <w:pPr>
      <w:numPr>
        <w:ilvl w:val="3"/>
      </w:numPr>
      <w:outlineLvl w:val="3"/>
    </w:pPr>
  </w:style>
  <w:style w:type="paragraph" w:customStyle="1" w:styleId="37">
    <w:name w:val="附录一级条标题"/>
    <w:basedOn w:val="31"/>
    <w:next w:val="32"/>
    <w:qFormat/>
    <w:uiPriority w:val="0"/>
    <w:pPr>
      <w:numPr>
        <w:ilvl w:val="2"/>
      </w:numPr>
      <w:autoSpaceDN w:val="0"/>
      <w:spacing w:beforeLines="0" w:afterLines="0"/>
      <w:outlineLvl w:val="2"/>
    </w:pPr>
  </w:style>
  <w:style w:type="paragraph" w:customStyle="1" w:styleId="38">
    <w:name w:val="p0"/>
    <w:basedOn w:val="1"/>
    <w:qFormat/>
    <w:uiPriority w:val="0"/>
    <w:pPr>
      <w:widowControl/>
    </w:pPr>
    <w:rPr>
      <w:kern w:val="0"/>
      <w:szCs w:val="21"/>
    </w:rPr>
  </w:style>
  <w:style w:type="paragraph" w:customStyle="1" w:styleId="39">
    <w:name w:val="附录标识"/>
    <w:basedOn w:val="1"/>
    <w:qFormat/>
    <w:uiPriority w:val="0"/>
    <w:pPr>
      <w:widowControl/>
      <w:numPr>
        <w:ilvl w:val="0"/>
        <w:numId w:val="1"/>
      </w:numPr>
      <w:shd w:val="clear" w:color="FFFFFF" w:fill="FFFFFF"/>
      <w:tabs>
        <w:tab w:val="left" w:pos="6405"/>
      </w:tabs>
      <w:spacing w:before="640" w:after="200"/>
      <w:jc w:val="center"/>
      <w:outlineLvl w:val="0"/>
    </w:pPr>
    <w:rPr>
      <w:rFonts w:ascii="黑体" w:eastAsia="黑体"/>
      <w:kern w:val="0"/>
      <w:szCs w:val="20"/>
    </w:rPr>
  </w:style>
  <w:style w:type="paragraph" w:styleId="40">
    <w:name w:val="List Paragraph"/>
    <w:basedOn w:val="1"/>
    <w:qFormat/>
    <w:uiPriority w:val="34"/>
    <w:pPr>
      <w:ind w:firstLine="420" w:firstLineChars="200"/>
    </w:pPr>
  </w:style>
  <w:style w:type="character" w:customStyle="1" w:styleId="41">
    <w:name w:val="批注框文本 Char"/>
    <w:basedOn w:val="24"/>
    <w:link w:val="13"/>
    <w:qFormat/>
    <w:uiPriority w:val="0"/>
    <w:rPr>
      <w:kern w:val="2"/>
      <w:sz w:val="18"/>
      <w:szCs w:val="18"/>
    </w:rPr>
  </w:style>
  <w:style w:type="paragraph" w:customStyle="1" w:styleId="42">
    <w:name w:val="前言、引言标题"/>
    <w:basedOn w:val="1"/>
    <w:next w:val="1"/>
    <w:qFormat/>
    <w:uiPriority w:val="99"/>
    <w:pPr>
      <w:widowControl/>
      <w:numPr>
        <w:ilvl w:val="0"/>
        <w:numId w:val="2"/>
      </w:numPr>
      <w:shd w:val="clear" w:color="auto" w:fill="FFFFFF"/>
      <w:spacing w:before="640" w:after="560"/>
      <w:jc w:val="center"/>
      <w:outlineLvl w:val="0"/>
    </w:pPr>
    <w:rPr>
      <w:rFonts w:ascii="黑体" w:eastAsia="黑体"/>
      <w:kern w:val="0"/>
      <w:sz w:val="32"/>
      <w:szCs w:val="20"/>
    </w:rPr>
  </w:style>
  <w:style w:type="character" w:customStyle="1" w:styleId="43">
    <w:name w:val="标题 Char"/>
    <w:basedOn w:val="24"/>
    <w:link w:val="21"/>
    <w:qFormat/>
    <w:uiPriority w:val="0"/>
    <w:rPr>
      <w:rFonts w:eastAsia="黑体" w:asciiTheme="majorHAnsi" w:hAnsiTheme="majorHAnsi" w:cstheme="majorBidi"/>
      <w:b/>
      <w:bCs/>
      <w:kern w:val="2"/>
      <w:sz w:val="28"/>
      <w:szCs w:val="32"/>
    </w:rPr>
  </w:style>
  <w:style w:type="paragraph" w:customStyle="1" w:styleId="44">
    <w:name w:val="TOC 标题1"/>
    <w:basedOn w:val="2"/>
    <w:next w:val="1"/>
    <w:unhideWhenUsed/>
    <w:qFormat/>
    <w:uiPriority w:val="39"/>
    <w:pPr>
      <w:keepLines/>
      <w:widowControl/>
      <w:spacing w:before="480" w:line="276" w:lineRule="auto"/>
      <w:jc w:val="left"/>
      <w:outlineLvl w:val="9"/>
    </w:pPr>
    <w:rPr>
      <w:rFonts w:asciiTheme="majorHAnsi" w:hAnsiTheme="majorHAnsi" w:eastAsiaTheme="majorEastAsia" w:cstheme="majorBidi"/>
      <w:color w:val="366091" w:themeColor="accent1" w:themeShade="BF"/>
      <w:kern w:val="0"/>
      <w:szCs w:val="28"/>
    </w:rPr>
  </w:style>
  <w:style w:type="character" w:customStyle="1" w:styleId="45">
    <w:name w:val="纯文本 Char"/>
    <w:basedOn w:val="24"/>
    <w:link w:val="10"/>
    <w:qFormat/>
    <w:uiPriority w:val="0"/>
    <w:rPr>
      <w:rFonts w:ascii="宋体" w:hAnsi="Courier New" w:cs="Courier New"/>
      <w:kern w:val="2"/>
      <w:sz w:val="21"/>
      <w:szCs w:val="21"/>
    </w:rPr>
  </w:style>
  <w:style w:type="character" w:customStyle="1" w:styleId="46">
    <w:name w:val="正文文本 Char"/>
    <w:basedOn w:val="24"/>
    <w:link w:val="7"/>
    <w:qFormat/>
    <w:uiPriority w:val="0"/>
    <w:rPr>
      <w:kern w:val="2"/>
      <w:sz w:val="24"/>
      <w:szCs w:val="24"/>
    </w:rPr>
  </w:style>
  <w:style w:type="paragraph" w:customStyle="1" w:styleId="47">
    <w:name w:val="列出段落1"/>
    <w:basedOn w:val="1"/>
    <w:qFormat/>
    <w:uiPriority w:val="0"/>
    <w:pPr>
      <w:ind w:firstLine="420" w:firstLineChars="200"/>
    </w:pPr>
    <w:rPr>
      <w:rFonts w:ascii="Calibri" w:hAnsi="Calibri"/>
      <w:szCs w:val="22"/>
    </w:rPr>
  </w:style>
  <w:style w:type="character" w:customStyle="1" w:styleId="48">
    <w:name w:val="副标题 Char"/>
    <w:basedOn w:val="24"/>
    <w:link w:val="17"/>
    <w:qFormat/>
    <w:uiPriority w:val="0"/>
    <w:rPr>
      <w:rFonts w:asciiTheme="majorHAnsi" w:hAnsiTheme="majorHAnsi" w:cstheme="majorBidi"/>
      <w:b/>
      <w:bCs/>
      <w:kern w:val="28"/>
      <w:sz w:val="32"/>
      <w:szCs w:val="32"/>
    </w:rPr>
  </w:style>
  <w:style w:type="paragraph" w:customStyle="1" w:styleId="49">
    <w:name w:val="Char Char2 Char Char Char Char Char Char Char Char Char Char Char Char"/>
    <w:basedOn w:val="1"/>
    <w:qFormat/>
    <w:uiPriority w:val="0"/>
    <w:pPr>
      <w:tabs>
        <w:tab w:val="left" w:pos="465"/>
      </w:tabs>
      <w:ind w:left="465" w:hanging="465"/>
    </w:p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oleObject" Target="embeddings/oleObject46.bin"/><Relationship Id="rId97" Type="http://schemas.openxmlformats.org/officeDocument/2006/relationships/oleObject" Target="embeddings/oleObject45.bin"/><Relationship Id="rId96" Type="http://schemas.openxmlformats.org/officeDocument/2006/relationships/oleObject" Target="embeddings/oleObject44.bin"/><Relationship Id="rId95" Type="http://schemas.openxmlformats.org/officeDocument/2006/relationships/image" Target="media/image39.wmf"/><Relationship Id="rId94" Type="http://schemas.openxmlformats.org/officeDocument/2006/relationships/oleObject" Target="embeddings/oleObject43.bin"/><Relationship Id="rId93" Type="http://schemas.openxmlformats.org/officeDocument/2006/relationships/image" Target="media/image38.wmf"/><Relationship Id="rId92" Type="http://schemas.openxmlformats.org/officeDocument/2006/relationships/oleObject" Target="embeddings/oleObject42.bin"/><Relationship Id="rId91" Type="http://schemas.openxmlformats.org/officeDocument/2006/relationships/image" Target="media/image37.wmf"/><Relationship Id="rId90" Type="http://schemas.openxmlformats.org/officeDocument/2006/relationships/oleObject" Target="embeddings/oleObject41.bin"/><Relationship Id="rId9" Type="http://schemas.openxmlformats.org/officeDocument/2006/relationships/footer" Target="footer4.xml"/><Relationship Id="rId89" Type="http://schemas.openxmlformats.org/officeDocument/2006/relationships/image" Target="media/image36.wmf"/><Relationship Id="rId88" Type="http://schemas.openxmlformats.org/officeDocument/2006/relationships/oleObject" Target="embeddings/oleObject40.bin"/><Relationship Id="rId87" Type="http://schemas.openxmlformats.org/officeDocument/2006/relationships/image" Target="media/image35.wmf"/><Relationship Id="rId86" Type="http://schemas.openxmlformats.org/officeDocument/2006/relationships/oleObject" Target="embeddings/oleObject39.bin"/><Relationship Id="rId85" Type="http://schemas.openxmlformats.org/officeDocument/2006/relationships/image" Target="media/image34.wmf"/><Relationship Id="rId84" Type="http://schemas.openxmlformats.org/officeDocument/2006/relationships/oleObject" Target="embeddings/oleObject38.bin"/><Relationship Id="rId83" Type="http://schemas.openxmlformats.org/officeDocument/2006/relationships/image" Target="media/image33.wmf"/><Relationship Id="rId82" Type="http://schemas.openxmlformats.org/officeDocument/2006/relationships/oleObject" Target="embeddings/oleObject37.bin"/><Relationship Id="rId81" Type="http://schemas.openxmlformats.org/officeDocument/2006/relationships/image" Target="media/image32.wmf"/><Relationship Id="rId80" Type="http://schemas.openxmlformats.org/officeDocument/2006/relationships/oleObject" Target="embeddings/oleObject36.bin"/><Relationship Id="rId8" Type="http://schemas.openxmlformats.org/officeDocument/2006/relationships/footer" Target="footer3.xml"/><Relationship Id="rId79" Type="http://schemas.openxmlformats.org/officeDocument/2006/relationships/image" Target="media/image31.wmf"/><Relationship Id="rId78" Type="http://schemas.openxmlformats.org/officeDocument/2006/relationships/oleObject" Target="embeddings/oleObject35.bin"/><Relationship Id="rId77" Type="http://schemas.openxmlformats.org/officeDocument/2006/relationships/image" Target="media/image30.wmf"/><Relationship Id="rId76" Type="http://schemas.openxmlformats.org/officeDocument/2006/relationships/oleObject" Target="embeddings/oleObject34.bin"/><Relationship Id="rId75" Type="http://schemas.openxmlformats.org/officeDocument/2006/relationships/oleObject" Target="embeddings/oleObject33.bin"/><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image" Target="media/image29.wmf"/><Relationship Id="rId71" Type="http://schemas.openxmlformats.org/officeDocument/2006/relationships/oleObject" Target="embeddings/oleObject30.bin"/><Relationship Id="rId70" Type="http://schemas.openxmlformats.org/officeDocument/2006/relationships/image" Target="media/image28.wmf"/><Relationship Id="rId7" Type="http://schemas.openxmlformats.org/officeDocument/2006/relationships/footer" Target="footer2.xml"/><Relationship Id="rId69" Type="http://schemas.openxmlformats.org/officeDocument/2006/relationships/oleObject" Target="embeddings/oleObject29.bin"/><Relationship Id="rId68" Type="http://schemas.openxmlformats.org/officeDocument/2006/relationships/image" Target="media/image27.wmf"/><Relationship Id="rId67" Type="http://schemas.openxmlformats.org/officeDocument/2006/relationships/oleObject" Target="embeddings/oleObject28.bin"/><Relationship Id="rId66" Type="http://schemas.openxmlformats.org/officeDocument/2006/relationships/image" Target="media/image26.wmf"/><Relationship Id="rId65" Type="http://schemas.openxmlformats.org/officeDocument/2006/relationships/oleObject" Target="embeddings/oleObject27.bin"/><Relationship Id="rId64" Type="http://schemas.openxmlformats.org/officeDocument/2006/relationships/oleObject" Target="embeddings/oleObject26.bin"/><Relationship Id="rId63" Type="http://schemas.openxmlformats.org/officeDocument/2006/relationships/image" Target="media/image25.wmf"/><Relationship Id="rId62" Type="http://schemas.openxmlformats.org/officeDocument/2006/relationships/oleObject" Target="embeddings/oleObject25.bin"/><Relationship Id="rId61" Type="http://schemas.openxmlformats.org/officeDocument/2006/relationships/image" Target="media/image24.emf"/><Relationship Id="rId60" Type="http://schemas.openxmlformats.org/officeDocument/2006/relationships/oleObject" Target="embeddings/oleObject24.bin"/><Relationship Id="rId6" Type="http://schemas.openxmlformats.org/officeDocument/2006/relationships/header" Target="header3.xml"/><Relationship Id="rId59" Type="http://schemas.openxmlformats.org/officeDocument/2006/relationships/image" Target="media/image23.emf"/><Relationship Id="rId58" Type="http://schemas.openxmlformats.org/officeDocument/2006/relationships/oleObject" Target="embeddings/oleObject23.bin"/><Relationship Id="rId57" Type="http://schemas.openxmlformats.org/officeDocument/2006/relationships/image" Target="media/image22.wmf"/><Relationship Id="rId56" Type="http://schemas.openxmlformats.org/officeDocument/2006/relationships/oleObject" Target="embeddings/oleObject22.bin"/><Relationship Id="rId55" Type="http://schemas.openxmlformats.org/officeDocument/2006/relationships/image" Target="media/image21.wmf"/><Relationship Id="rId54" Type="http://schemas.openxmlformats.org/officeDocument/2006/relationships/oleObject" Target="embeddings/oleObject21.bin"/><Relationship Id="rId53" Type="http://schemas.openxmlformats.org/officeDocument/2006/relationships/image" Target="media/image20.wmf"/><Relationship Id="rId52" Type="http://schemas.openxmlformats.org/officeDocument/2006/relationships/oleObject" Target="embeddings/oleObject20.bin"/><Relationship Id="rId51" Type="http://schemas.openxmlformats.org/officeDocument/2006/relationships/image" Target="media/image19.wmf"/><Relationship Id="rId50" Type="http://schemas.openxmlformats.org/officeDocument/2006/relationships/oleObject" Target="embeddings/oleObject19.bin"/><Relationship Id="rId5" Type="http://schemas.openxmlformats.org/officeDocument/2006/relationships/header" Target="header2.xml"/><Relationship Id="rId49" Type="http://schemas.openxmlformats.org/officeDocument/2006/relationships/image" Target="media/image18.wmf"/><Relationship Id="rId48" Type="http://schemas.openxmlformats.org/officeDocument/2006/relationships/oleObject" Target="embeddings/oleObject18.bin"/><Relationship Id="rId47" Type="http://schemas.openxmlformats.org/officeDocument/2006/relationships/image" Target="media/image17.wmf"/><Relationship Id="rId46" Type="http://schemas.openxmlformats.org/officeDocument/2006/relationships/oleObject" Target="embeddings/oleObject17.bin"/><Relationship Id="rId45" Type="http://schemas.openxmlformats.org/officeDocument/2006/relationships/image" Target="media/image16.wmf"/><Relationship Id="rId44" Type="http://schemas.openxmlformats.org/officeDocument/2006/relationships/oleObject" Target="embeddings/oleObject16.bin"/><Relationship Id="rId43" Type="http://schemas.openxmlformats.org/officeDocument/2006/relationships/image" Target="media/image15.wmf"/><Relationship Id="rId42" Type="http://schemas.openxmlformats.org/officeDocument/2006/relationships/oleObject" Target="embeddings/oleObject15.bin"/><Relationship Id="rId41" Type="http://schemas.openxmlformats.org/officeDocument/2006/relationships/image" Target="media/image14.wmf"/><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image" Target="media/image13.wmf"/><Relationship Id="rId38" Type="http://schemas.openxmlformats.org/officeDocument/2006/relationships/oleObject" Target="embeddings/oleObject13.bin"/><Relationship Id="rId37" Type="http://schemas.openxmlformats.org/officeDocument/2006/relationships/image" Target="media/image12.wmf"/><Relationship Id="rId36" Type="http://schemas.openxmlformats.org/officeDocument/2006/relationships/oleObject" Target="embeddings/oleObject12.bin"/><Relationship Id="rId35" Type="http://schemas.openxmlformats.org/officeDocument/2006/relationships/image" Target="media/image11.wmf"/><Relationship Id="rId34" Type="http://schemas.openxmlformats.org/officeDocument/2006/relationships/oleObject" Target="embeddings/oleObject11.bin"/><Relationship Id="rId33" Type="http://schemas.openxmlformats.org/officeDocument/2006/relationships/image" Target="media/image10.wmf"/><Relationship Id="rId32" Type="http://schemas.openxmlformats.org/officeDocument/2006/relationships/oleObject" Target="embeddings/oleObject10.bin"/><Relationship Id="rId31" Type="http://schemas.openxmlformats.org/officeDocument/2006/relationships/oleObject" Target="embeddings/oleObject9.bin"/><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7.bin"/><Relationship Id="rId27" Type="http://schemas.openxmlformats.org/officeDocument/2006/relationships/image" Target="media/image8.wmf"/><Relationship Id="rId26" Type="http://schemas.openxmlformats.org/officeDocument/2006/relationships/oleObject" Target="embeddings/oleObject6.bin"/><Relationship Id="rId25" Type="http://schemas.openxmlformats.org/officeDocument/2006/relationships/image" Target="media/image7.wmf"/><Relationship Id="rId24" Type="http://schemas.openxmlformats.org/officeDocument/2006/relationships/oleObject" Target="embeddings/oleObject5.bin"/><Relationship Id="rId23" Type="http://schemas.openxmlformats.org/officeDocument/2006/relationships/image" Target="media/image6.wmf"/><Relationship Id="rId22" Type="http://schemas.openxmlformats.org/officeDocument/2006/relationships/oleObject" Target="embeddings/oleObject4.bin"/><Relationship Id="rId21" Type="http://schemas.openxmlformats.org/officeDocument/2006/relationships/image" Target="media/image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2.bin"/><Relationship Id="rId17" Type="http://schemas.openxmlformats.org/officeDocument/2006/relationships/image" Target="media/image3.jpeg"/><Relationship Id="rId16" Type="http://schemas.openxmlformats.org/officeDocument/2006/relationships/image" Target="media/image2.wmf"/><Relationship Id="rId15" Type="http://schemas.openxmlformats.org/officeDocument/2006/relationships/oleObject" Target="embeddings/oleObject1.bin"/><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7.xml"/><Relationship Id="rId113" Type="http://schemas.openxmlformats.org/officeDocument/2006/relationships/fontTable" Target="fontTable.xml"/><Relationship Id="rId112" Type="http://schemas.openxmlformats.org/officeDocument/2006/relationships/customXml" Target="../customXml/item2.xml"/><Relationship Id="rId111" Type="http://schemas.openxmlformats.org/officeDocument/2006/relationships/numbering" Target="numbering.xml"/><Relationship Id="rId110" Type="http://schemas.openxmlformats.org/officeDocument/2006/relationships/customXml" Target="../customXml/item1.xml"/><Relationship Id="rId11" Type="http://schemas.openxmlformats.org/officeDocument/2006/relationships/footer" Target="footer6.xml"/><Relationship Id="rId109" Type="http://schemas.openxmlformats.org/officeDocument/2006/relationships/image" Target="media/image45.wmf"/><Relationship Id="rId108" Type="http://schemas.openxmlformats.org/officeDocument/2006/relationships/oleObject" Target="embeddings/oleObject51.bin"/><Relationship Id="rId107" Type="http://schemas.openxmlformats.org/officeDocument/2006/relationships/image" Target="media/image44.wmf"/><Relationship Id="rId106" Type="http://schemas.openxmlformats.org/officeDocument/2006/relationships/oleObject" Target="embeddings/oleObject50.bin"/><Relationship Id="rId105" Type="http://schemas.openxmlformats.org/officeDocument/2006/relationships/image" Target="media/image43.wmf"/><Relationship Id="rId104" Type="http://schemas.openxmlformats.org/officeDocument/2006/relationships/oleObject" Target="embeddings/oleObject49.bin"/><Relationship Id="rId103" Type="http://schemas.openxmlformats.org/officeDocument/2006/relationships/image" Target="media/image42.wmf"/><Relationship Id="rId102" Type="http://schemas.openxmlformats.org/officeDocument/2006/relationships/oleObject" Target="embeddings/oleObject48.bin"/><Relationship Id="rId101" Type="http://schemas.openxmlformats.org/officeDocument/2006/relationships/image" Target="media/image41.wmf"/><Relationship Id="rId100" Type="http://schemas.openxmlformats.org/officeDocument/2006/relationships/oleObject" Target="embeddings/oleObject47.bin"/><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1"/>
    <customShpInfo spid="_x0000_s2050"/>
    <customShpInfo spid="_x0000_s2049"/>
    <customShpInfo spid="_x0000_s1026"/>
    <customShpInfo spid="_x0000_s3098"/>
    <customShpInfo spid="_x0000_s3097"/>
    <customShpInfo spid="_x0000_s309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27"/>
    <customShpInfo spid="_x0000_s2033"/>
    <customShpInfo spid="_x0000_s2034"/>
    <customShpInfo spid="_x0000_s203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4ADD3-F6C6-4CF6-969A-BC1FA55C63EC}">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16</Pages>
  <Words>4224</Words>
  <Characters>4950</Characters>
  <Lines>62</Lines>
  <Paragraphs>17</Paragraphs>
  <TotalTime>6</TotalTime>
  <ScaleCrop>false</ScaleCrop>
  <LinksUpToDate>false</LinksUpToDate>
  <CharactersWithSpaces>5715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2023-05-07T08:33:00Z</dcterms:created>
  <dc:creator>hz</dc:creator>
  <cp:lastModifiedBy>juan</cp:lastModifiedBy>
  <cp:lastPrinted>2022-09-01T00:29:00Z</cp:lastPrinted>
  <dcterms:modified xsi:type="dcterms:W3CDTF">2024-03-05T02:04:05Z</dcterms:modified>
  <dc:title>JJG</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C2DFB0F8268B4E1C94AF5070D402B9DE</vt:lpwstr>
  </property>
</Properties>
</file>